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69AEC" w14:textId="4D4AAB47" w:rsidR="003B6C79" w:rsidRPr="00352F4C" w:rsidRDefault="00DB28B4" w:rsidP="00DB28B4">
      <w:pPr>
        <w:pStyle w:val="BodyText"/>
        <w:jc w:val="center"/>
        <w:rPr>
          <w:rFonts w:cstheme="minorHAnsi"/>
          <w:b/>
        </w:rPr>
      </w:pPr>
      <w:bookmarkStart w:id="0" w:name="_GoBack"/>
      <w:bookmarkEnd w:id="0"/>
      <w:r w:rsidRPr="00352F4C">
        <w:rPr>
          <w:rFonts w:cstheme="minorHAnsi"/>
          <w:b/>
        </w:rPr>
        <w:t>Template</w:t>
      </w:r>
      <w:r w:rsidR="0007311B" w:rsidRPr="00352F4C">
        <w:rPr>
          <w:rFonts w:cstheme="minorHAnsi"/>
          <w:b/>
        </w:rPr>
        <w:t xml:space="preserve"> </w:t>
      </w:r>
      <w:r w:rsidRPr="00352F4C">
        <w:rPr>
          <w:rFonts w:cstheme="minorHAnsi"/>
          <w:b/>
        </w:rPr>
        <w:t xml:space="preserve">Guidance: </w:t>
      </w:r>
      <w:r w:rsidR="00CB2E16" w:rsidRPr="00352F4C">
        <w:rPr>
          <w:rFonts w:cstheme="minorHAnsi"/>
          <w:b/>
        </w:rPr>
        <w:t>Proposed Rule Altering Procedures for Asylum, Withholding of Removal, and Fear Screenings</w:t>
      </w:r>
      <w:r w:rsidRPr="00352F4C">
        <w:rPr>
          <w:rFonts w:cstheme="minorHAnsi"/>
          <w:b/>
        </w:rPr>
        <w:t xml:space="preserve"> </w:t>
      </w:r>
    </w:p>
    <w:p w14:paraId="30F24141" w14:textId="6BFCDBA5" w:rsidR="003B6C79" w:rsidRPr="00352F4C" w:rsidRDefault="00CB2E16" w:rsidP="0010653C">
      <w:pPr>
        <w:pStyle w:val="BodyText"/>
        <w:rPr>
          <w:rFonts w:cstheme="minorHAnsi"/>
        </w:rPr>
      </w:pPr>
      <w:r w:rsidRPr="00352F4C">
        <w:rPr>
          <w:rFonts w:cstheme="minorHAnsi"/>
        </w:rPr>
        <w:t>T</w:t>
      </w:r>
      <w:r w:rsidR="000E7E4C">
        <w:rPr>
          <w:rFonts w:cstheme="minorHAnsi"/>
        </w:rPr>
        <w:t>hank you for helping Immigration Equality to fight the Trump administration’s attacks on asylum. T</w:t>
      </w:r>
      <w:r w:rsidRPr="00352F4C">
        <w:rPr>
          <w:rFonts w:cstheme="minorHAnsi"/>
        </w:rPr>
        <w:t>his document contains template comments with arguments in opposition to the Proposed Rule issued by the D</w:t>
      </w:r>
      <w:r w:rsidR="00F923B5" w:rsidRPr="00352F4C">
        <w:rPr>
          <w:rFonts w:cstheme="minorHAnsi"/>
        </w:rPr>
        <w:t>epartment of Homeland Security (D</w:t>
      </w:r>
      <w:r w:rsidRPr="00352F4C">
        <w:rPr>
          <w:rFonts w:cstheme="minorHAnsi"/>
        </w:rPr>
        <w:t>HS</w:t>
      </w:r>
      <w:r w:rsidR="00F923B5" w:rsidRPr="00352F4C">
        <w:rPr>
          <w:rFonts w:cstheme="minorHAnsi"/>
        </w:rPr>
        <w:t>)</w:t>
      </w:r>
      <w:r w:rsidRPr="00352F4C">
        <w:rPr>
          <w:rFonts w:cstheme="minorHAnsi"/>
        </w:rPr>
        <w:t xml:space="preserve"> and </w:t>
      </w:r>
      <w:r w:rsidR="00F923B5" w:rsidRPr="00352F4C">
        <w:rPr>
          <w:rFonts w:cstheme="minorHAnsi"/>
        </w:rPr>
        <w:t>the Department of Justice (</w:t>
      </w:r>
      <w:r w:rsidRPr="00352F4C">
        <w:rPr>
          <w:rFonts w:cstheme="minorHAnsi"/>
        </w:rPr>
        <w:t>DOJ</w:t>
      </w:r>
      <w:r w:rsidR="00BA679A" w:rsidRPr="00352F4C">
        <w:rPr>
          <w:rFonts w:cstheme="minorHAnsi"/>
        </w:rPr>
        <w:t>)</w:t>
      </w:r>
      <w:r w:rsidRPr="00352F4C">
        <w:rPr>
          <w:rFonts w:cstheme="minorHAnsi"/>
        </w:rPr>
        <w:t xml:space="preserve"> on June 15, 2020</w:t>
      </w:r>
      <w:r w:rsidR="00E05794" w:rsidRPr="00352F4C">
        <w:rPr>
          <w:rFonts w:cstheme="minorHAnsi"/>
        </w:rPr>
        <w:t>,</w:t>
      </w:r>
      <w:r w:rsidR="00BA679A" w:rsidRPr="00352F4C">
        <w:rPr>
          <w:rFonts w:cstheme="minorHAnsi"/>
        </w:rPr>
        <w:t xml:space="preserve"> entitled</w:t>
      </w:r>
      <w:r w:rsidR="0007311B" w:rsidRPr="00352F4C">
        <w:rPr>
          <w:rFonts w:cstheme="minorHAnsi"/>
        </w:rPr>
        <w:t> Procedures for Asylum and Withholding of Removal; Credible Fear and Reasonable Fear Review (the “Proposed Rule”)</w:t>
      </w:r>
      <w:r w:rsidRPr="00352F4C">
        <w:rPr>
          <w:rFonts w:cstheme="minorHAnsi"/>
        </w:rPr>
        <w:t xml:space="preserve">.  The Proposed Rule </w:t>
      </w:r>
      <w:r w:rsidR="0007311B" w:rsidRPr="00352F4C">
        <w:rPr>
          <w:rFonts w:cstheme="minorHAnsi"/>
        </w:rPr>
        <w:t xml:space="preserve">radically changes the </w:t>
      </w:r>
      <w:r w:rsidRPr="00352F4C">
        <w:rPr>
          <w:rFonts w:cstheme="minorHAnsi"/>
        </w:rPr>
        <w:t>U</w:t>
      </w:r>
      <w:r w:rsidR="00BA679A" w:rsidRPr="00352F4C">
        <w:rPr>
          <w:rFonts w:cstheme="minorHAnsi"/>
        </w:rPr>
        <w:t>.</w:t>
      </w:r>
      <w:r w:rsidRPr="00352F4C">
        <w:rPr>
          <w:rFonts w:cstheme="minorHAnsi"/>
        </w:rPr>
        <w:t>S</w:t>
      </w:r>
      <w:r w:rsidR="00BA679A" w:rsidRPr="00352F4C">
        <w:rPr>
          <w:rFonts w:cstheme="minorHAnsi"/>
        </w:rPr>
        <w:t>.</w:t>
      </w:r>
      <w:r w:rsidRPr="00352F4C">
        <w:rPr>
          <w:rFonts w:cstheme="minorHAnsi"/>
        </w:rPr>
        <w:t xml:space="preserve"> asylum </w:t>
      </w:r>
      <w:r w:rsidR="00020011" w:rsidRPr="00352F4C">
        <w:rPr>
          <w:rFonts w:cstheme="minorHAnsi"/>
        </w:rPr>
        <w:t>system and</w:t>
      </w:r>
      <w:r w:rsidR="0007311B" w:rsidRPr="00352F4C">
        <w:rPr>
          <w:rFonts w:cstheme="minorHAnsi"/>
        </w:rPr>
        <w:t xml:space="preserve"> would eliminate asylum for most </w:t>
      </w:r>
      <w:r w:rsidR="00E05794" w:rsidRPr="00352F4C">
        <w:rPr>
          <w:rFonts w:cstheme="minorHAnsi"/>
        </w:rPr>
        <w:t>refugees</w:t>
      </w:r>
      <w:r w:rsidR="0007311B" w:rsidRPr="00352F4C">
        <w:rPr>
          <w:rFonts w:cstheme="minorHAnsi"/>
        </w:rPr>
        <w:t>, including LGBTQ and HIV-positive people</w:t>
      </w:r>
      <w:r w:rsidR="00CB0ABC" w:rsidRPr="00352F4C">
        <w:rPr>
          <w:rFonts w:cstheme="minorHAnsi"/>
        </w:rPr>
        <w:t xml:space="preserve"> (LGBTQ/H)</w:t>
      </w:r>
      <w:r w:rsidRPr="00352F4C">
        <w:rPr>
          <w:rFonts w:cstheme="minorHAnsi"/>
        </w:rPr>
        <w:t xml:space="preserve">.  We encourage you to use this template as a resource in crafting unique comments </w:t>
      </w:r>
      <w:r w:rsidR="00CB0ABC" w:rsidRPr="00352F4C">
        <w:rPr>
          <w:rFonts w:cstheme="minorHAnsi"/>
        </w:rPr>
        <w:t>about the impact of the Proposed Rule on LGBTQ/H asylum seekers</w:t>
      </w:r>
      <w:r w:rsidRPr="00352F4C">
        <w:rPr>
          <w:rFonts w:cstheme="minorHAnsi"/>
        </w:rPr>
        <w:t>.</w:t>
      </w:r>
      <w:r w:rsidR="00EC72E0">
        <w:rPr>
          <w:rFonts w:cstheme="minorHAnsi"/>
        </w:rPr>
        <w:t xml:space="preserve"> Special thanks to our partners at Kirkland &amp; Ellis for their invaluable assistance in drafting these comments so quickly. </w:t>
      </w:r>
    </w:p>
    <w:p w14:paraId="58BE1548" w14:textId="77777777" w:rsidR="00DB28B4" w:rsidRPr="00352F4C" w:rsidRDefault="00DB28B4" w:rsidP="00DB28B4">
      <w:pPr>
        <w:jc w:val="both"/>
        <w:rPr>
          <w:rFonts w:cstheme="minorHAnsi"/>
          <w:b/>
        </w:rPr>
      </w:pPr>
      <w:r w:rsidRPr="00352F4C">
        <w:rPr>
          <w:rFonts w:cstheme="minorHAnsi"/>
          <w:b/>
        </w:rPr>
        <w:t>Important Details</w:t>
      </w:r>
    </w:p>
    <w:p w14:paraId="0F434D9E" w14:textId="77777777" w:rsidR="00F923B5" w:rsidRPr="00352F4C" w:rsidRDefault="00F923B5" w:rsidP="00DB28B4">
      <w:pPr>
        <w:jc w:val="both"/>
        <w:rPr>
          <w:rFonts w:cstheme="minorHAnsi"/>
          <w:b/>
        </w:rPr>
      </w:pPr>
    </w:p>
    <w:p w14:paraId="24054D70" w14:textId="77777777" w:rsidR="00DB28B4" w:rsidRPr="00352F4C" w:rsidRDefault="00DB28B4" w:rsidP="00DB28B4">
      <w:pPr>
        <w:numPr>
          <w:ilvl w:val="0"/>
          <w:numId w:val="18"/>
        </w:numPr>
        <w:spacing w:line="276" w:lineRule="auto"/>
        <w:jc w:val="both"/>
        <w:rPr>
          <w:rFonts w:cstheme="minorHAnsi"/>
        </w:rPr>
      </w:pPr>
      <w:r w:rsidRPr="00352F4C">
        <w:rPr>
          <w:rFonts w:cstheme="minorHAnsi"/>
        </w:rPr>
        <w:t xml:space="preserve">The Proposed Rule is available </w:t>
      </w:r>
      <w:hyperlink r:id="rId8" w:history="1">
        <w:r w:rsidRPr="00352F4C">
          <w:rPr>
            <w:rStyle w:val="Hyperlink"/>
            <w:rFonts w:cstheme="minorHAnsi"/>
          </w:rPr>
          <w:t>here</w:t>
        </w:r>
      </w:hyperlink>
      <w:r w:rsidRPr="00352F4C">
        <w:rPr>
          <w:rFonts w:cstheme="minorHAnsi"/>
        </w:rPr>
        <w:t xml:space="preserve">.  </w:t>
      </w:r>
    </w:p>
    <w:p w14:paraId="7A788D83" w14:textId="7B5BAE1A" w:rsidR="00DB28B4" w:rsidRPr="00352F4C" w:rsidRDefault="00DB28B4" w:rsidP="00DB28B4">
      <w:pPr>
        <w:numPr>
          <w:ilvl w:val="0"/>
          <w:numId w:val="18"/>
        </w:numPr>
        <w:spacing w:line="276" w:lineRule="auto"/>
        <w:jc w:val="both"/>
        <w:rPr>
          <w:rFonts w:cstheme="minorHAnsi"/>
        </w:rPr>
      </w:pPr>
      <w:r w:rsidRPr="00352F4C">
        <w:rPr>
          <w:rFonts w:cstheme="minorHAnsi"/>
        </w:rPr>
        <w:t>Comments must be submitted b</w:t>
      </w:r>
      <w:r w:rsidR="00CB0ABC" w:rsidRPr="00352F4C">
        <w:rPr>
          <w:rFonts w:cstheme="minorHAnsi"/>
        </w:rPr>
        <w:t>y</w:t>
      </w:r>
      <w:r w:rsidRPr="00352F4C">
        <w:rPr>
          <w:rFonts w:cstheme="minorHAnsi"/>
        </w:rPr>
        <w:t xml:space="preserve"> </w:t>
      </w:r>
      <w:r w:rsidRPr="00352F4C">
        <w:rPr>
          <w:rFonts w:cstheme="minorHAnsi"/>
          <w:b/>
        </w:rPr>
        <w:t>July 15, 2020 at 11:59 PM EST</w:t>
      </w:r>
      <w:r w:rsidRPr="00352F4C">
        <w:rPr>
          <w:rFonts w:cstheme="minorHAnsi"/>
        </w:rPr>
        <w:t>.</w:t>
      </w:r>
    </w:p>
    <w:p w14:paraId="28A2FB65" w14:textId="1E86E997" w:rsidR="003B6C79" w:rsidRPr="00352F4C" w:rsidRDefault="00DB28B4" w:rsidP="00C46BE6">
      <w:pPr>
        <w:numPr>
          <w:ilvl w:val="0"/>
          <w:numId w:val="18"/>
        </w:numPr>
        <w:spacing w:line="276" w:lineRule="auto"/>
        <w:jc w:val="both"/>
        <w:rPr>
          <w:rFonts w:cstheme="minorHAnsi"/>
        </w:rPr>
      </w:pPr>
      <w:r w:rsidRPr="00352F4C">
        <w:rPr>
          <w:rFonts w:cstheme="minorHAnsi"/>
        </w:rPr>
        <w:t xml:space="preserve">Comments may be submitted online </w:t>
      </w:r>
      <w:hyperlink r:id="rId9" w:history="1">
        <w:r w:rsidRPr="00352F4C">
          <w:rPr>
            <w:rStyle w:val="Hyperlink"/>
            <w:rFonts w:cstheme="minorHAnsi"/>
          </w:rPr>
          <w:t>here</w:t>
        </w:r>
      </w:hyperlink>
      <w:r w:rsidRPr="00352F4C">
        <w:rPr>
          <w:rFonts w:cstheme="minorHAnsi"/>
        </w:rPr>
        <w:t>, by either copying/pasting your text into the “Comment” box or writ</w:t>
      </w:r>
      <w:r w:rsidR="00CB0ABC" w:rsidRPr="00352F4C">
        <w:rPr>
          <w:rFonts w:cstheme="minorHAnsi"/>
        </w:rPr>
        <w:t>ing</w:t>
      </w:r>
      <w:r w:rsidRPr="00352F4C">
        <w:rPr>
          <w:rFonts w:cstheme="minorHAnsi"/>
        </w:rPr>
        <w:t xml:space="preserve"> “see attached” and upload</w:t>
      </w:r>
      <w:r w:rsidR="00CB0ABC" w:rsidRPr="00352F4C">
        <w:rPr>
          <w:rFonts w:cstheme="minorHAnsi"/>
        </w:rPr>
        <w:t>ing</w:t>
      </w:r>
      <w:r w:rsidRPr="00352F4C">
        <w:rPr>
          <w:rFonts w:cstheme="minorHAnsi"/>
        </w:rPr>
        <w:t xml:space="preserve"> a PDF file.</w:t>
      </w:r>
      <w:r w:rsidR="00CB2E16" w:rsidRPr="00352F4C">
        <w:rPr>
          <w:rStyle w:val="FootnoteReference"/>
          <w:rFonts w:cstheme="minorHAnsi"/>
          <w:b/>
        </w:rPr>
        <w:footnoteReference w:id="1"/>
      </w:r>
    </w:p>
    <w:p w14:paraId="168A90AD" w14:textId="77777777" w:rsidR="00F923B5" w:rsidRPr="00352F4C" w:rsidRDefault="00F923B5" w:rsidP="0010653C">
      <w:pPr>
        <w:pStyle w:val="BodyText"/>
        <w:rPr>
          <w:rFonts w:cstheme="minorHAnsi"/>
          <w:b/>
        </w:rPr>
      </w:pPr>
    </w:p>
    <w:p w14:paraId="54E9CA5A" w14:textId="77777777" w:rsidR="00E12FDF" w:rsidRDefault="00CB2E16" w:rsidP="00E12FDF">
      <w:pPr>
        <w:pStyle w:val="BodyText"/>
        <w:ind w:firstLine="0"/>
        <w:rPr>
          <w:rFonts w:cstheme="minorHAnsi"/>
        </w:rPr>
      </w:pPr>
      <w:r w:rsidRPr="00352F4C">
        <w:rPr>
          <w:rFonts w:cstheme="minorHAnsi"/>
          <w:b/>
        </w:rPr>
        <w:t>Using this template</w:t>
      </w:r>
      <w:r w:rsidRPr="00352F4C">
        <w:rPr>
          <w:rFonts w:cstheme="minorHAnsi"/>
        </w:rPr>
        <w:t xml:space="preserve">: </w:t>
      </w:r>
    </w:p>
    <w:p w14:paraId="5CDCEF93" w14:textId="5E3902D7" w:rsidR="003B6C79" w:rsidRPr="00352F4C" w:rsidRDefault="00CB2E16" w:rsidP="00E12FDF">
      <w:pPr>
        <w:pStyle w:val="BodyText"/>
        <w:ind w:firstLine="0"/>
        <w:rPr>
          <w:rFonts w:cstheme="minorHAnsi"/>
        </w:rPr>
      </w:pPr>
      <w:r w:rsidRPr="00352F4C">
        <w:rPr>
          <w:rFonts w:cstheme="minorHAnsi"/>
        </w:rPr>
        <w:t xml:space="preserve">This template includes a </w:t>
      </w:r>
      <w:r w:rsidR="00FB729C" w:rsidRPr="00352F4C">
        <w:rPr>
          <w:rFonts w:cstheme="minorHAnsi"/>
        </w:rPr>
        <w:t xml:space="preserve">number </w:t>
      </w:r>
      <w:r w:rsidRPr="00352F4C">
        <w:rPr>
          <w:rFonts w:cstheme="minorHAnsi"/>
        </w:rPr>
        <w:t xml:space="preserve">of substantive arguments tailored to </w:t>
      </w:r>
      <w:r w:rsidR="00DB28B4" w:rsidRPr="00352F4C">
        <w:rPr>
          <w:rFonts w:cstheme="minorHAnsi"/>
        </w:rPr>
        <w:t xml:space="preserve">address </w:t>
      </w:r>
      <w:r w:rsidRPr="00352F4C">
        <w:rPr>
          <w:rFonts w:cstheme="minorHAnsi"/>
        </w:rPr>
        <w:t xml:space="preserve">the </w:t>
      </w:r>
      <w:r w:rsidR="00DB28B4" w:rsidRPr="00352F4C">
        <w:rPr>
          <w:rFonts w:cstheme="minorHAnsi"/>
        </w:rPr>
        <w:t>impact</w:t>
      </w:r>
      <w:r w:rsidRPr="00352F4C">
        <w:rPr>
          <w:rFonts w:cstheme="minorHAnsi"/>
        </w:rPr>
        <w:t xml:space="preserve"> of the Proposed Rule on LGBTQ</w:t>
      </w:r>
      <w:r w:rsidR="00CB0ABC" w:rsidRPr="00352F4C">
        <w:rPr>
          <w:rFonts w:cstheme="minorHAnsi"/>
        </w:rPr>
        <w:t>/H</w:t>
      </w:r>
      <w:r w:rsidR="008525CD" w:rsidRPr="00352F4C">
        <w:rPr>
          <w:rFonts w:cstheme="minorHAnsi"/>
        </w:rPr>
        <w:t xml:space="preserve"> </w:t>
      </w:r>
      <w:r w:rsidRPr="00352F4C">
        <w:rPr>
          <w:rFonts w:cstheme="minorHAnsi"/>
        </w:rPr>
        <w:t xml:space="preserve">asylum seekers.  Because of the </w:t>
      </w:r>
      <w:r w:rsidR="00C46BE6" w:rsidRPr="00352F4C">
        <w:rPr>
          <w:rFonts w:cstheme="minorHAnsi"/>
        </w:rPr>
        <w:t xml:space="preserve">expansive </w:t>
      </w:r>
      <w:r w:rsidRPr="00352F4C">
        <w:rPr>
          <w:rFonts w:cstheme="minorHAnsi"/>
        </w:rPr>
        <w:t>nature of the Proposed Rule</w:t>
      </w:r>
      <w:r w:rsidR="00C46BE6" w:rsidRPr="00352F4C">
        <w:rPr>
          <w:rFonts w:cstheme="minorHAnsi"/>
        </w:rPr>
        <w:t xml:space="preserve"> and the </w:t>
      </w:r>
      <w:r w:rsidR="00EC72E0">
        <w:rPr>
          <w:rFonts w:cstheme="minorHAnsi"/>
        </w:rPr>
        <w:t>fact that the administration gave us only 30 days to respond to them,</w:t>
      </w:r>
      <w:r w:rsidRPr="00352F4C">
        <w:rPr>
          <w:rFonts w:cstheme="minorHAnsi"/>
        </w:rPr>
        <w:t xml:space="preserve"> this template does not address every </w:t>
      </w:r>
      <w:r w:rsidR="0007311B" w:rsidRPr="00352F4C">
        <w:rPr>
          <w:rFonts w:cstheme="minorHAnsi"/>
        </w:rPr>
        <w:t>problem with the Proposed Rule</w:t>
      </w:r>
      <w:r w:rsidRPr="00352F4C">
        <w:rPr>
          <w:rFonts w:cstheme="minorHAnsi"/>
        </w:rPr>
        <w:t xml:space="preserve">.  </w:t>
      </w:r>
      <w:r w:rsidR="0007311B" w:rsidRPr="00352F4C">
        <w:rPr>
          <w:rFonts w:cstheme="minorHAnsi"/>
        </w:rPr>
        <w:t xml:space="preserve">Rather, it targets </w:t>
      </w:r>
      <w:r w:rsidR="00CB0ABC" w:rsidRPr="00352F4C">
        <w:rPr>
          <w:rFonts w:cstheme="minorHAnsi"/>
        </w:rPr>
        <w:t xml:space="preserve">some of the most egregious </w:t>
      </w:r>
      <w:r w:rsidR="0007311B" w:rsidRPr="00352F4C">
        <w:rPr>
          <w:rFonts w:cstheme="minorHAnsi"/>
        </w:rPr>
        <w:t xml:space="preserve">provisions that have </w:t>
      </w:r>
      <w:r w:rsidR="00CB0ABC" w:rsidRPr="00352F4C">
        <w:rPr>
          <w:rFonts w:cstheme="minorHAnsi"/>
        </w:rPr>
        <w:t xml:space="preserve">a unique </w:t>
      </w:r>
      <w:r w:rsidR="0007311B" w:rsidRPr="00352F4C">
        <w:rPr>
          <w:rFonts w:cstheme="minorHAnsi"/>
        </w:rPr>
        <w:t>impact on LGBTQ/H p</w:t>
      </w:r>
      <w:r w:rsidR="00EC72E0">
        <w:rPr>
          <w:rFonts w:cstheme="minorHAnsi"/>
        </w:rPr>
        <w:t>eople</w:t>
      </w:r>
      <w:r w:rsidR="0007311B" w:rsidRPr="00352F4C">
        <w:rPr>
          <w:rFonts w:cstheme="minorHAnsi"/>
        </w:rPr>
        <w:t xml:space="preserve">. It </w:t>
      </w:r>
      <w:r w:rsidR="00C46BE6" w:rsidRPr="00352F4C">
        <w:rPr>
          <w:rFonts w:cstheme="minorHAnsi"/>
        </w:rPr>
        <w:t xml:space="preserve">is designed so that you can select the arguments </w:t>
      </w:r>
      <w:r w:rsidR="0007311B" w:rsidRPr="00352F4C">
        <w:rPr>
          <w:rFonts w:cstheme="minorHAnsi"/>
        </w:rPr>
        <w:t>most relevant to your organization and adapt th</w:t>
      </w:r>
      <w:r w:rsidR="00EC72E0">
        <w:rPr>
          <w:rFonts w:cstheme="minorHAnsi"/>
        </w:rPr>
        <w:t>em</w:t>
      </w:r>
      <w:r w:rsidR="0007311B" w:rsidRPr="00352F4C">
        <w:rPr>
          <w:rFonts w:cstheme="minorHAnsi"/>
        </w:rPr>
        <w:t xml:space="preserve"> to</w:t>
      </w:r>
      <w:r w:rsidR="008525CD" w:rsidRPr="00352F4C">
        <w:rPr>
          <w:rFonts w:cstheme="minorHAnsi"/>
        </w:rPr>
        <w:t xml:space="preserve"> </w:t>
      </w:r>
      <w:r w:rsidR="0007311B" w:rsidRPr="00352F4C">
        <w:rPr>
          <w:rFonts w:cstheme="minorHAnsi"/>
        </w:rPr>
        <w:t>en</w:t>
      </w:r>
      <w:r w:rsidRPr="00352F4C">
        <w:rPr>
          <w:rFonts w:cstheme="minorHAnsi"/>
        </w:rPr>
        <w:t>sure your comment is unique.</w:t>
      </w:r>
    </w:p>
    <w:p w14:paraId="574738DE" w14:textId="77777777" w:rsidR="00E12FDF" w:rsidRDefault="00E12FDF" w:rsidP="00E12FDF">
      <w:pPr>
        <w:pStyle w:val="BodyText"/>
        <w:ind w:firstLine="0"/>
        <w:rPr>
          <w:rFonts w:cstheme="minorHAnsi"/>
          <w:b/>
        </w:rPr>
      </w:pPr>
    </w:p>
    <w:p w14:paraId="630CFEB7" w14:textId="0494B097" w:rsidR="00E12FDF" w:rsidRDefault="00CB2E16" w:rsidP="00E12FDF">
      <w:pPr>
        <w:pStyle w:val="BodyText"/>
        <w:ind w:firstLine="0"/>
        <w:rPr>
          <w:rFonts w:cstheme="minorHAnsi"/>
        </w:rPr>
      </w:pPr>
      <w:r w:rsidRPr="00352F4C">
        <w:rPr>
          <w:rFonts w:cstheme="minorHAnsi"/>
          <w:b/>
        </w:rPr>
        <w:t>Write in your own words</w:t>
      </w:r>
      <w:r w:rsidRPr="00352F4C">
        <w:rPr>
          <w:rFonts w:cstheme="minorHAnsi"/>
        </w:rPr>
        <w:t xml:space="preserve">: </w:t>
      </w:r>
    </w:p>
    <w:p w14:paraId="22DFB31F" w14:textId="4699BA42" w:rsidR="003B6C79" w:rsidRPr="00352F4C" w:rsidRDefault="0007311B" w:rsidP="00E12FDF">
      <w:pPr>
        <w:pStyle w:val="BodyText"/>
        <w:ind w:firstLine="0"/>
        <w:rPr>
          <w:rFonts w:cstheme="minorHAnsi"/>
        </w:rPr>
      </w:pPr>
      <w:r w:rsidRPr="00352F4C">
        <w:rPr>
          <w:rFonts w:cstheme="minorHAnsi"/>
        </w:rPr>
        <w:t>The government</w:t>
      </w:r>
      <w:r w:rsidR="00CB2E16" w:rsidRPr="00352F4C">
        <w:rPr>
          <w:rFonts w:cstheme="minorHAnsi"/>
        </w:rPr>
        <w:t xml:space="preserve"> must </w:t>
      </w:r>
      <w:r w:rsidRPr="00352F4C">
        <w:rPr>
          <w:rFonts w:cstheme="minorHAnsi"/>
        </w:rPr>
        <w:t>review all relevant information presented in the comments and must respond in some way to</w:t>
      </w:r>
      <w:r w:rsidR="00CB2E16" w:rsidRPr="00352F4C">
        <w:rPr>
          <w:rFonts w:cstheme="minorHAnsi"/>
        </w:rPr>
        <w:t xml:space="preserve"> every comment they receive.  </w:t>
      </w:r>
      <w:r w:rsidRPr="00352F4C">
        <w:rPr>
          <w:rFonts w:cstheme="minorHAnsi"/>
        </w:rPr>
        <w:t>If comments are too similar, the government may group them together and review them as one comment.  In order to ensure your comment is reviewed</w:t>
      </w:r>
      <w:r w:rsidR="00CB2E16" w:rsidRPr="00352F4C">
        <w:rPr>
          <w:rFonts w:cstheme="minorHAnsi"/>
        </w:rPr>
        <w:t>, we encourage you to modify the sample comment to be reflective of your organization’s experiences</w:t>
      </w:r>
      <w:r w:rsidR="001D7283" w:rsidRPr="00352F4C">
        <w:rPr>
          <w:rFonts w:cstheme="minorHAnsi"/>
        </w:rPr>
        <w:t xml:space="preserve">, the experiences of the </w:t>
      </w:r>
      <w:r w:rsidR="00EC72E0">
        <w:rPr>
          <w:rFonts w:cstheme="minorHAnsi"/>
        </w:rPr>
        <w:t>community</w:t>
      </w:r>
      <w:r w:rsidR="001D7283" w:rsidRPr="00352F4C">
        <w:rPr>
          <w:rFonts w:cstheme="minorHAnsi"/>
        </w:rPr>
        <w:t xml:space="preserve"> you work with</w:t>
      </w:r>
      <w:r w:rsidR="00CB2E16" w:rsidRPr="00352F4C">
        <w:rPr>
          <w:rFonts w:cstheme="minorHAnsi"/>
        </w:rPr>
        <w:t xml:space="preserve">, </w:t>
      </w:r>
      <w:r w:rsidR="001D7283" w:rsidRPr="00352F4C">
        <w:rPr>
          <w:rFonts w:cstheme="minorHAnsi"/>
        </w:rPr>
        <w:t xml:space="preserve">and </w:t>
      </w:r>
      <w:r w:rsidR="00CB2E16" w:rsidRPr="00352F4C">
        <w:rPr>
          <w:rFonts w:cstheme="minorHAnsi"/>
        </w:rPr>
        <w:t xml:space="preserve">any expertise you can bring to any particular </w:t>
      </w:r>
      <w:r w:rsidR="001D7283" w:rsidRPr="00352F4C">
        <w:rPr>
          <w:rFonts w:cstheme="minorHAnsi"/>
        </w:rPr>
        <w:t>section.  Providing specific examples to document the harm of the Proposed Rule is very helpful.</w:t>
      </w:r>
      <w:r w:rsidR="00EC72E0">
        <w:rPr>
          <w:rFonts w:cstheme="minorHAnsi"/>
        </w:rPr>
        <w:t xml:space="preserve"> You should also not feel compelled to use any part of our template if you think it does not apply to your work or your experience.  </w:t>
      </w:r>
    </w:p>
    <w:p w14:paraId="3691AB57" w14:textId="450093A3" w:rsidR="00E12FDF" w:rsidRDefault="00CB2E16" w:rsidP="00E12FDF">
      <w:pPr>
        <w:pStyle w:val="BodyText"/>
        <w:ind w:firstLine="0"/>
        <w:rPr>
          <w:rFonts w:cstheme="minorHAnsi"/>
        </w:rPr>
      </w:pPr>
      <w:r w:rsidRPr="00352F4C">
        <w:rPr>
          <w:rFonts w:cstheme="minorHAnsi"/>
          <w:b/>
        </w:rPr>
        <w:t>Attach your research</w:t>
      </w:r>
      <w:r w:rsidR="00E12FDF">
        <w:rPr>
          <w:rFonts w:cstheme="minorHAnsi"/>
          <w:b/>
        </w:rPr>
        <w:t>:</w:t>
      </w:r>
      <w:r w:rsidRPr="00352F4C">
        <w:rPr>
          <w:rFonts w:cstheme="minorHAnsi"/>
        </w:rPr>
        <w:t xml:space="preserve">  </w:t>
      </w:r>
    </w:p>
    <w:p w14:paraId="7AE76222" w14:textId="77186F74" w:rsidR="001D7283" w:rsidRPr="00352F4C" w:rsidRDefault="00CB2E16" w:rsidP="00E12FDF">
      <w:pPr>
        <w:pStyle w:val="BodyText"/>
        <w:ind w:firstLine="0"/>
        <w:rPr>
          <w:rFonts w:cstheme="minorHAnsi"/>
        </w:rPr>
      </w:pPr>
      <w:r w:rsidRPr="00352F4C">
        <w:rPr>
          <w:rFonts w:cstheme="minorHAnsi"/>
        </w:rPr>
        <w:t xml:space="preserve">If you cite to research and supporting documents, we recommend that you include them as attachments so they become part of the administrative record.  If you include links, specifically request that the </w:t>
      </w:r>
      <w:r w:rsidR="00020011">
        <w:rPr>
          <w:rFonts w:cstheme="minorHAnsi"/>
        </w:rPr>
        <w:t>A</w:t>
      </w:r>
      <w:r w:rsidRPr="00352F4C">
        <w:rPr>
          <w:rFonts w:cstheme="minorHAnsi"/>
        </w:rPr>
        <w:t>genc</w:t>
      </w:r>
      <w:r w:rsidR="0007311B" w:rsidRPr="00352F4C">
        <w:rPr>
          <w:rFonts w:cstheme="minorHAnsi"/>
        </w:rPr>
        <w:t>ies</w:t>
      </w:r>
      <w:r w:rsidRPr="00352F4C">
        <w:rPr>
          <w:rFonts w:cstheme="minorHAnsi"/>
        </w:rPr>
        <w:t xml:space="preserve"> read the linked material</w:t>
      </w:r>
      <w:r w:rsidR="00020011">
        <w:rPr>
          <w:rFonts w:cstheme="minorHAnsi"/>
        </w:rPr>
        <w:t xml:space="preserve"> and incorporate it into the record</w:t>
      </w:r>
      <w:r w:rsidRPr="00352F4C">
        <w:rPr>
          <w:rFonts w:cstheme="minorHAnsi"/>
        </w:rPr>
        <w:t>.</w:t>
      </w:r>
    </w:p>
    <w:p w14:paraId="708C1ED0" w14:textId="77777777" w:rsidR="00E12FDF" w:rsidRDefault="002B4DA4" w:rsidP="00E12FDF">
      <w:pPr>
        <w:pStyle w:val="BodyText"/>
        <w:ind w:firstLine="0"/>
        <w:rPr>
          <w:rFonts w:cstheme="minorHAnsi"/>
          <w:b/>
        </w:rPr>
      </w:pPr>
      <w:r w:rsidRPr="00352F4C">
        <w:rPr>
          <w:rFonts w:cstheme="minorHAnsi"/>
          <w:b/>
        </w:rPr>
        <w:t>Other Templates</w:t>
      </w:r>
      <w:r w:rsidR="00E12FDF">
        <w:rPr>
          <w:rFonts w:cstheme="minorHAnsi"/>
          <w:b/>
        </w:rPr>
        <w:t>:</w:t>
      </w:r>
      <w:r w:rsidRPr="00352F4C">
        <w:rPr>
          <w:rFonts w:cstheme="minorHAnsi"/>
          <w:b/>
        </w:rPr>
        <w:t xml:space="preserve">  </w:t>
      </w:r>
    </w:p>
    <w:p w14:paraId="4077FA82" w14:textId="538451B7" w:rsidR="002B4DA4" w:rsidRPr="00352F4C" w:rsidRDefault="002B4DA4" w:rsidP="00E12FDF">
      <w:pPr>
        <w:pStyle w:val="BodyText"/>
        <w:ind w:firstLine="0"/>
        <w:rPr>
          <w:rFonts w:cstheme="minorHAnsi"/>
          <w:b/>
        </w:rPr>
      </w:pPr>
      <w:r w:rsidRPr="00352F4C">
        <w:rPr>
          <w:rFonts w:cstheme="minorHAnsi"/>
        </w:rPr>
        <w:t>For other non-LGBTQ/H specific template comments,</w:t>
      </w:r>
      <w:r w:rsidRPr="00352F4C">
        <w:rPr>
          <w:rFonts w:cstheme="minorHAnsi"/>
          <w:b/>
        </w:rPr>
        <w:t xml:space="preserve"> </w:t>
      </w:r>
      <w:r w:rsidRPr="00352F4C">
        <w:rPr>
          <w:rFonts w:cstheme="minorHAnsi"/>
        </w:rPr>
        <w:t xml:space="preserve">please </w:t>
      </w:r>
      <w:r w:rsidR="00E12FDF">
        <w:rPr>
          <w:rFonts w:cstheme="minorHAnsi"/>
        </w:rPr>
        <w:t>visit</w:t>
      </w:r>
      <w:hyperlink r:id="rId10" w:history="1">
        <w:r w:rsidRPr="00352F4C">
          <w:rPr>
            <w:rStyle w:val="Hyperlink"/>
            <w:rFonts w:cstheme="minorHAnsi"/>
            <w:color w:val="auto"/>
          </w:rPr>
          <w:t xml:space="preserve"> </w:t>
        </w:r>
        <w:r w:rsidRPr="00352F4C">
          <w:rPr>
            <w:rStyle w:val="Hyperlink"/>
            <w:rFonts w:cstheme="minorHAnsi"/>
            <w:i/>
            <w:iCs/>
            <w:color w:val="auto"/>
          </w:rPr>
          <w:t>Resources on the Proposed Rule</w:t>
        </w:r>
      </w:hyperlink>
      <w:r w:rsidRPr="00352F4C">
        <w:rPr>
          <w:rFonts w:cstheme="minorHAnsi"/>
        </w:rPr>
        <w:t>.</w:t>
      </w:r>
      <w:r w:rsidR="00E12FDF">
        <w:rPr>
          <w:rFonts w:cstheme="minorHAnsi"/>
        </w:rPr>
        <w:t xml:space="preserve">  The goal is to submit as many substantive comments as possible to make i</w:t>
      </w:r>
      <w:r w:rsidR="00020011">
        <w:rPr>
          <w:rFonts w:cstheme="minorHAnsi"/>
        </w:rPr>
        <w:t>t</w:t>
      </w:r>
      <w:r w:rsidR="00E12FDF">
        <w:rPr>
          <w:rFonts w:cstheme="minorHAnsi"/>
        </w:rPr>
        <w:t xml:space="preserve"> clear that abolishing the asylum system through the Proposed Rule is cruel and in violation of the United States’ obligations under law. </w:t>
      </w:r>
    </w:p>
    <w:p w14:paraId="4517E34E" w14:textId="77777777" w:rsidR="002B4DA4" w:rsidRPr="00352F4C" w:rsidRDefault="002B4DA4" w:rsidP="0010653C">
      <w:pPr>
        <w:pStyle w:val="BodyText"/>
        <w:rPr>
          <w:rFonts w:cstheme="minorHAnsi"/>
        </w:rPr>
      </w:pPr>
    </w:p>
    <w:p w14:paraId="19ACA332" w14:textId="77777777" w:rsidR="00283237" w:rsidRPr="00352F4C" w:rsidRDefault="00CB2E16" w:rsidP="0010653C">
      <w:pPr>
        <w:pStyle w:val="BodyText"/>
        <w:rPr>
          <w:rFonts w:cstheme="minorHAnsi"/>
          <w:b/>
          <w:highlight w:val="green"/>
        </w:rPr>
      </w:pPr>
      <w:r w:rsidRPr="00352F4C">
        <w:rPr>
          <w:rFonts w:cstheme="minorHAnsi"/>
          <w:b/>
          <w:highlight w:val="green"/>
        </w:rPr>
        <w:br w:type="page"/>
      </w:r>
    </w:p>
    <w:p w14:paraId="0EFD7DEC" w14:textId="77777777" w:rsidR="003B6C79" w:rsidRPr="00352F4C" w:rsidRDefault="00CB2E16" w:rsidP="00352F4C">
      <w:pPr>
        <w:pStyle w:val="BodyText"/>
        <w:ind w:firstLine="0"/>
        <w:rPr>
          <w:rFonts w:cstheme="minorHAnsi"/>
          <w:b/>
        </w:rPr>
      </w:pPr>
      <w:r w:rsidRPr="00352F4C">
        <w:rPr>
          <w:rFonts w:cstheme="minorHAnsi"/>
          <w:b/>
        </w:rPr>
        <w:lastRenderedPageBreak/>
        <w:t>Template Comments</w:t>
      </w:r>
    </w:p>
    <w:p w14:paraId="2DD48886" w14:textId="77777777" w:rsidR="00546C0A" w:rsidRPr="00352F4C" w:rsidRDefault="00CB2E16" w:rsidP="00352F4C">
      <w:pPr>
        <w:pStyle w:val="BodyText"/>
        <w:ind w:firstLine="0"/>
        <w:rPr>
          <w:rFonts w:cstheme="minorHAnsi"/>
          <w:b/>
          <w:highlight w:val="yellow"/>
        </w:rPr>
      </w:pPr>
      <w:r w:rsidRPr="00352F4C">
        <w:rPr>
          <w:rFonts w:cstheme="minorHAnsi"/>
          <w:b/>
          <w:highlight w:val="yellow"/>
        </w:rPr>
        <w:t>[Date]</w:t>
      </w:r>
    </w:p>
    <w:p w14:paraId="4D864296" w14:textId="77777777" w:rsidR="00546C0A" w:rsidRPr="00352F4C" w:rsidRDefault="00CB2E16" w:rsidP="00DA0656">
      <w:pPr>
        <w:pStyle w:val="BodyText"/>
        <w:ind w:firstLine="0"/>
        <w:rPr>
          <w:rFonts w:cstheme="minorHAnsi"/>
          <w:i/>
        </w:rPr>
      </w:pPr>
      <w:r w:rsidRPr="00352F4C">
        <w:rPr>
          <w:rFonts w:cstheme="minorHAnsi"/>
          <w:i/>
        </w:rPr>
        <w:t>Submitted via www.regulations.gov</w:t>
      </w:r>
    </w:p>
    <w:p w14:paraId="32B56064" w14:textId="124C4633" w:rsidR="00D078A5" w:rsidRPr="00352F4C" w:rsidRDefault="00CB2E16" w:rsidP="00D078A5">
      <w:pPr>
        <w:rPr>
          <w:rFonts w:cstheme="minorHAnsi"/>
        </w:rPr>
      </w:pPr>
      <w:r w:rsidRPr="00352F4C">
        <w:rPr>
          <w:rFonts w:cstheme="minorHAnsi"/>
        </w:rPr>
        <w:t xml:space="preserve">Lauren Alder Reid, Assistant Director </w:t>
      </w:r>
    </w:p>
    <w:p w14:paraId="733FA561" w14:textId="5AAF4DE6" w:rsidR="00D078A5" w:rsidRPr="00352F4C" w:rsidRDefault="00CB2E16" w:rsidP="00D078A5">
      <w:pPr>
        <w:rPr>
          <w:rFonts w:cstheme="minorHAnsi"/>
        </w:rPr>
      </w:pPr>
      <w:r w:rsidRPr="00352F4C">
        <w:rPr>
          <w:rFonts w:cstheme="minorHAnsi"/>
        </w:rPr>
        <w:t>Office of Policy</w:t>
      </w:r>
    </w:p>
    <w:p w14:paraId="6BB87E42" w14:textId="132DDD9C" w:rsidR="00D078A5" w:rsidRPr="00352F4C" w:rsidRDefault="00CB2E16" w:rsidP="00D078A5">
      <w:pPr>
        <w:rPr>
          <w:rFonts w:cstheme="minorHAnsi"/>
        </w:rPr>
      </w:pPr>
      <w:r w:rsidRPr="00352F4C">
        <w:rPr>
          <w:rFonts w:cstheme="minorHAnsi"/>
        </w:rPr>
        <w:t xml:space="preserve">Executive Office for Immigration Review </w:t>
      </w:r>
    </w:p>
    <w:p w14:paraId="1FD0AC47" w14:textId="77777777" w:rsidR="00D078A5" w:rsidRPr="00352F4C" w:rsidRDefault="00CB2E16" w:rsidP="00D078A5">
      <w:pPr>
        <w:rPr>
          <w:rFonts w:cstheme="minorHAnsi"/>
        </w:rPr>
      </w:pPr>
      <w:r w:rsidRPr="00352F4C">
        <w:rPr>
          <w:rFonts w:cstheme="minorHAnsi"/>
        </w:rPr>
        <w:t>5107 Leesburg Pike, Suite 1800, Falls Church, VA 22041</w:t>
      </w:r>
    </w:p>
    <w:p w14:paraId="236DF4D7" w14:textId="77777777" w:rsidR="00D078A5" w:rsidRPr="00352F4C" w:rsidRDefault="00D078A5" w:rsidP="00D078A5">
      <w:pPr>
        <w:rPr>
          <w:rFonts w:cstheme="minorHAnsi"/>
        </w:rPr>
      </w:pPr>
    </w:p>
    <w:p w14:paraId="4C5695CD" w14:textId="619B5D4C" w:rsidR="00D078A5" w:rsidRPr="00352F4C" w:rsidRDefault="00CB2E16" w:rsidP="00D078A5">
      <w:pPr>
        <w:rPr>
          <w:rFonts w:cstheme="minorHAnsi"/>
        </w:rPr>
      </w:pPr>
      <w:r w:rsidRPr="00352F4C">
        <w:rPr>
          <w:rFonts w:cstheme="minorHAnsi"/>
        </w:rPr>
        <w:t xml:space="preserve">Office of Information and Regulatory Affairs </w:t>
      </w:r>
    </w:p>
    <w:p w14:paraId="30BDAE11" w14:textId="20570C38" w:rsidR="00D078A5" w:rsidRPr="00352F4C" w:rsidRDefault="00CB2E16" w:rsidP="00D078A5">
      <w:pPr>
        <w:rPr>
          <w:rFonts w:cstheme="minorHAnsi"/>
        </w:rPr>
      </w:pPr>
      <w:r w:rsidRPr="00352F4C">
        <w:rPr>
          <w:rFonts w:cstheme="minorHAnsi"/>
        </w:rPr>
        <w:t xml:space="preserve">Office of Management and Budget </w:t>
      </w:r>
    </w:p>
    <w:p w14:paraId="77CB9EC9" w14:textId="467C917E" w:rsidR="00D078A5" w:rsidRPr="00352F4C" w:rsidRDefault="00CB2E16" w:rsidP="00D078A5">
      <w:pPr>
        <w:rPr>
          <w:rFonts w:cstheme="minorHAnsi"/>
        </w:rPr>
      </w:pPr>
      <w:r w:rsidRPr="00352F4C">
        <w:rPr>
          <w:rFonts w:cstheme="minorHAnsi"/>
        </w:rPr>
        <w:t xml:space="preserve">725 17th Street NW, Washington, DC 20503 </w:t>
      </w:r>
    </w:p>
    <w:p w14:paraId="59977257" w14:textId="77777777" w:rsidR="00D078A5" w:rsidRPr="00352F4C" w:rsidRDefault="00CB2E16" w:rsidP="00D078A5">
      <w:pPr>
        <w:rPr>
          <w:rFonts w:cstheme="minorHAnsi"/>
        </w:rPr>
      </w:pPr>
      <w:r w:rsidRPr="00352F4C">
        <w:rPr>
          <w:rFonts w:cstheme="minorHAnsi"/>
        </w:rPr>
        <w:t>Attention: Desk Officer, U.S. Citizenship and Immigration Services, DHS</w:t>
      </w:r>
    </w:p>
    <w:p w14:paraId="220A4E0C" w14:textId="77777777" w:rsidR="00D078A5" w:rsidRPr="00352F4C" w:rsidRDefault="00D078A5" w:rsidP="00546C0A">
      <w:pPr>
        <w:pStyle w:val="BodyText"/>
        <w:ind w:left="720"/>
        <w:rPr>
          <w:rFonts w:cstheme="minorHAnsi"/>
          <w:b/>
        </w:rPr>
      </w:pPr>
    </w:p>
    <w:p w14:paraId="0060DF0E" w14:textId="33E65DC0" w:rsidR="00D078A5" w:rsidRPr="00352F4C" w:rsidRDefault="00CB2E16" w:rsidP="00D078A5">
      <w:pPr>
        <w:rPr>
          <w:rFonts w:cstheme="minorHAnsi"/>
          <w:b/>
        </w:rPr>
      </w:pPr>
      <w:r w:rsidRPr="00352F4C">
        <w:rPr>
          <w:rFonts w:cstheme="minorHAnsi"/>
          <w:b/>
        </w:rPr>
        <w:t>RE: RIN 1125-AA94 or EOIR Docket No. 18-0002, Public Comment Opposing Proposed Rule on Asylum, and Collection of Information</w:t>
      </w:r>
      <w:r w:rsidR="00020011">
        <w:rPr>
          <w:rFonts w:cstheme="minorHAnsi"/>
          <w:b/>
        </w:rPr>
        <w:t>,</w:t>
      </w:r>
      <w:r w:rsidRPr="00352F4C">
        <w:rPr>
          <w:rFonts w:cstheme="minorHAnsi"/>
          <w:b/>
        </w:rPr>
        <w:t xml:space="preserve"> OMB Control Number 1615-0067</w:t>
      </w:r>
    </w:p>
    <w:p w14:paraId="1F59D482" w14:textId="77777777" w:rsidR="00D078A5" w:rsidRPr="00352F4C" w:rsidRDefault="00D078A5" w:rsidP="0010653C">
      <w:pPr>
        <w:pStyle w:val="BodyText"/>
        <w:rPr>
          <w:rFonts w:cstheme="minorHAnsi"/>
        </w:rPr>
      </w:pPr>
    </w:p>
    <w:p w14:paraId="543A5073" w14:textId="575209D8" w:rsidR="00D078A5" w:rsidRPr="00352F4C" w:rsidRDefault="00CB2E16" w:rsidP="0010653C">
      <w:pPr>
        <w:pStyle w:val="BodyText"/>
        <w:rPr>
          <w:rFonts w:cstheme="minorHAnsi"/>
        </w:rPr>
      </w:pPr>
      <w:r w:rsidRPr="00352F4C">
        <w:rPr>
          <w:rFonts w:cstheme="minorHAnsi"/>
        </w:rPr>
        <w:t xml:space="preserve">We write on behalf of </w:t>
      </w:r>
      <w:r w:rsidR="00546C0A" w:rsidRPr="00352F4C">
        <w:rPr>
          <w:rFonts w:cstheme="minorHAnsi"/>
          <w:highlight w:val="yellow"/>
        </w:rPr>
        <w:t>[Organization]</w:t>
      </w:r>
      <w:r w:rsidRPr="00352F4C">
        <w:rPr>
          <w:rFonts w:cstheme="minorHAnsi"/>
        </w:rPr>
        <w:t xml:space="preserve">, in response to the Department of Homeland Security (“DHS”) and </w:t>
      </w:r>
      <w:r w:rsidR="00AD3B74">
        <w:rPr>
          <w:rFonts w:cstheme="minorHAnsi"/>
        </w:rPr>
        <w:t xml:space="preserve">the </w:t>
      </w:r>
      <w:r w:rsidRPr="00352F4C">
        <w:rPr>
          <w:rFonts w:cstheme="minorHAnsi"/>
        </w:rPr>
        <w:t>Department of Justice</w:t>
      </w:r>
      <w:r w:rsidR="00352F4C" w:rsidRPr="00352F4C">
        <w:rPr>
          <w:rFonts w:cstheme="minorHAnsi"/>
        </w:rPr>
        <w:t>’s</w:t>
      </w:r>
      <w:r w:rsidRPr="00352F4C">
        <w:rPr>
          <w:rFonts w:cstheme="minorHAnsi"/>
        </w:rPr>
        <w:t xml:space="preserve"> (“DOJ</w:t>
      </w:r>
      <w:r w:rsidR="006866D0" w:rsidRPr="00352F4C">
        <w:rPr>
          <w:rFonts w:cstheme="minorHAnsi"/>
        </w:rPr>
        <w:t xml:space="preserve">,” </w:t>
      </w:r>
      <w:r w:rsidR="0007311B" w:rsidRPr="00352F4C">
        <w:rPr>
          <w:rFonts w:cstheme="minorHAnsi"/>
        </w:rPr>
        <w:t xml:space="preserve">collectively with DHS, the “Agencies”) </w:t>
      </w:r>
      <w:r w:rsidRPr="00352F4C">
        <w:rPr>
          <w:rFonts w:cstheme="minorHAnsi"/>
        </w:rPr>
        <w:t xml:space="preserve">Notice of Proposed Rulemaking (“Proposed Rule”) on the Procedures for Asylum and Withholding of Removal; Credible Fear and Reasonable Fear Review, RIN 1125-AA94 / EOIR </w:t>
      </w:r>
      <w:proofErr w:type="spellStart"/>
      <w:r w:rsidRPr="00352F4C">
        <w:rPr>
          <w:rFonts w:cstheme="minorHAnsi"/>
        </w:rPr>
        <w:t>Dkt</w:t>
      </w:r>
      <w:proofErr w:type="spellEnd"/>
      <w:r w:rsidRPr="00352F4C">
        <w:rPr>
          <w:rFonts w:cstheme="minorHAnsi"/>
        </w:rPr>
        <w:t>. No. 18-0002; A.G. Order No. 4714-2020, published in the Federal Register at 85 F.R. 36264 on June 15, 2020 (“Notice”).</w:t>
      </w:r>
      <w:r w:rsidR="00C0117F">
        <w:rPr>
          <w:rStyle w:val="FootnoteReference"/>
          <w:rFonts w:cstheme="minorHAnsi"/>
        </w:rPr>
        <w:footnoteReference w:id="2"/>
      </w:r>
      <w:r w:rsidRPr="00352F4C">
        <w:rPr>
          <w:rFonts w:cstheme="minorHAnsi"/>
        </w:rPr>
        <w:t xml:space="preserve">  </w:t>
      </w:r>
    </w:p>
    <w:p w14:paraId="4C9B5DF7" w14:textId="7069F5CA" w:rsidR="009530BF" w:rsidRPr="00352F4C" w:rsidRDefault="000A6850" w:rsidP="00352F4C">
      <w:pPr>
        <w:pStyle w:val="BodyText"/>
        <w:rPr>
          <w:rFonts w:cstheme="minorHAnsi"/>
        </w:rPr>
      </w:pPr>
      <w:r>
        <w:rPr>
          <w:rFonts w:cstheme="minorHAnsi"/>
        </w:rPr>
        <w:t xml:space="preserve">The Proposed Rule eviscerates the U.S. asylum system and </w:t>
      </w:r>
      <w:r w:rsidR="0007311B" w:rsidRPr="00352F4C">
        <w:rPr>
          <w:rFonts w:cstheme="minorHAnsi"/>
        </w:rPr>
        <w:t xml:space="preserve">flouts the </w:t>
      </w:r>
      <w:r w:rsidR="00AD3B74">
        <w:rPr>
          <w:rFonts w:cstheme="minorHAnsi"/>
        </w:rPr>
        <w:t xml:space="preserve">nation’s </w:t>
      </w:r>
      <w:r w:rsidR="00CB2E16" w:rsidRPr="00352F4C">
        <w:rPr>
          <w:rFonts w:cstheme="minorHAnsi"/>
        </w:rPr>
        <w:t>obligations</w:t>
      </w:r>
      <w:r w:rsidR="0007311B" w:rsidRPr="00352F4C">
        <w:rPr>
          <w:rFonts w:cstheme="minorHAnsi"/>
        </w:rPr>
        <w:t xml:space="preserve"> under domestic and international law</w:t>
      </w:r>
      <w:r w:rsidR="00CB2E16" w:rsidRPr="00352F4C">
        <w:rPr>
          <w:rFonts w:cstheme="minorHAnsi"/>
        </w:rPr>
        <w:t xml:space="preserve"> to </w:t>
      </w:r>
      <w:r w:rsidR="00352F4C" w:rsidRPr="00352F4C">
        <w:rPr>
          <w:rFonts w:cstheme="minorHAnsi"/>
        </w:rPr>
        <w:t>safeguard</w:t>
      </w:r>
      <w:r w:rsidR="00CB2E16" w:rsidRPr="00352F4C">
        <w:rPr>
          <w:rFonts w:cstheme="minorHAnsi"/>
        </w:rPr>
        <w:t xml:space="preserve"> refugees seeking humanitarian protection.  </w:t>
      </w:r>
      <w:r w:rsidR="0007311B" w:rsidRPr="00352F4C">
        <w:rPr>
          <w:rFonts w:cstheme="minorHAnsi"/>
        </w:rPr>
        <w:t>Far from the “comprehensive solution” the Agencies seek in enacting this new regulation, the Proposed Rule will s</w:t>
      </w:r>
      <w:r w:rsidR="00CB2E16" w:rsidRPr="00352F4C">
        <w:rPr>
          <w:rFonts w:cstheme="minorHAnsi"/>
        </w:rPr>
        <w:t xml:space="preserve">ubject </w:t>
      </w:r>
      <w:r w:rsidR="0007311B" w:rsidRPr="00352F4C">
        <w:rPr>
          <w:rFonts w:cstheme="minorHAnsi"/>
        </w:rPr>
        <w:t>vulnerable asylum seekers</w:t>
      </w:r>
      <w:r w:rsidR="00CB2E16" w:rsidRPr="00352F4C">
        <w:rPr>
          <w:rFonts w:cstheme="minorHAnsi"/>
        </w:rPr>
        <w:t xml:space="preserve"> to </w:t>
      </w:r>
      <w:r w:rsidR="00EC72E0">
        <w:rPr>
          <w:rFonts w:cstheme="minorHAnsi"/>
        </w:rPr>
        <w:t>unclear, and sometimes unlawful,</w:t>
      </w:r>
      <w:r w:rsidR="00CB2E16" w:rsidRPr="00352F4C">
        <w:rPr>
          <w:rFonts w:cstheme="minorHAnsi"/>
        </w:rPr>
        <w:t xml:space="preserve"> standards with </w:t>
      </w:r>
      <w:r w:rsidR="0007311B" w:rsidRPr="00352F4C">
        <w:rPr>
          <w:rFonts w:cstheme="minorHAnsi"/>
        </w:rPr>
        <w:t>virtually no due process protections.</w:t>
      </w:r>
      <w:r w:rsidR="00CB2E16" w:rsidRPr="00352F4C">
        <w:rPr>
          <w:rFonts w:cstheme="minorHAnsi"/>
        </w:rPr>
        <w:t xml:space="preserve"> </w:t>
      </w:r>
      <w:r w:rsidR="006866D0" w:rsidRPr="00352F4C">
        <w:rPr>
          <w:rFonts w:cstheme="minorHAnsi"/>
        </w:rPr>
        <w:t xml:space="preserve">This will result in </w:t>
      </w:r>
      <w:r w:rsidR="00352F4C" w:rsidRPr="00352F4C">
        <w:rPr>
          <w:rFonts w:cstheme="minorHAnsi"/>
        </w:rPr>
        <w:t xml:space="preserve">chaos </w:t>
      </w:r>
      <w:r w:rsidR="006866D0" w:rsidRPr="00352F4C">
        <w:rPr>
          <w:rFonts w:cstheme="minorHAnsi"/>
        </w:rPr>
        <w:t>as stakeholders battle the patently unfair</w:t>
      </w:r>
      <w:r w:rsidR="00D00D96" w:rsidRPr="00352F4C">
        <w:rPr>
          <w:rFonts w:cstheme="minorHAnsi"/>
        </w:rPr>
        <w:t xml:space="preserve"> and unlawful </w:t>
      </w:r>
      <w:r w:rsidR="00020011">
        <w:rPr>
          <w:rFonts w:cstheme="minorHAnsi"/>
        </w:rPr>
        <w:t>Proposed Rule</w:t>
      </w:r>
      <w:r w:rsidR="006866D0" w:rsidRPr="00352F4C">
        <w:rPr>
          <w:rFonts w:cstheme="minorHAnsi"/>
        </w:rPr>
        <w:t xml:space="preserve"> </w:t>
      </w:r>
      <w:r w:rsidR="00352F4C" w:rsidRPr="00352F4C">
        <w:rPr>
          <w:rFonts w:cstheme="minorHAnsi"/>
        </w:rPr>
        <w:t>in federal court</w:t>
      </w:r>
      <w:r w:rsidR="00AD3B74">
        <w:rPr>
          <w:rFonts w:cstheme="minorHAnsi"/>
        </w:rPr>
        <w:t>.  Tragically, the Proposed Rule will also</w:t>
      </w:r>
      <w:r w:rsidR="00352F4C" w:rsidRPr="00352F4C">
        <w:rPr>
          <w:rFonts w:cstheme="minorHAnsi"/>
        </w:rPr>
        <w:t xml:space="preserve"> result </w:t>
      </w:r>
      <w:r w:rsidR="00020011">
        <w:rPr>
          <w:rFonts w:cstheme="minorHAnsi"/>
        </w:rPr>
        <w:t xml:space="preserve">in </w:t>
      </w:r>
      <w:r w:rsidR="0007311B" w:rsidRPr="00352F4C">
        <w:rPr>
          <w:rFonts w:cstheme="minorHAnsi"/>
        </w:rPr>
        <w:t>asylum seekers being wrongly returned to countries where t</w:t>
      </w:r>
      <w:r w:rsidR="00AD3B74">
        <w:rPr>
          <w:rFonts w:cstheme="minorHAnsi"/>
        </w:rPr>
        <w:t>heir lives will be in grave danger</w:t>
      </w:r>
      <w:r w:rsidR="0007311B" w:rsidRPr="00352F4C">
        <w:rPr>
          <w:rFonts w:cstheme="minorHAnsi"/>
        </w:rPr>
        <w:t>.</w:t>
      </w:r>
      <w:r w:rsidR="00352F4C" w:rsidRPr="00352F4C">
        <w:rPr>
          <w:rFonts w:cstheme="minorHAnsi"/>
        </w:rPr>
        <w:t xml:space="preserve">  Accordingly, we urge the Agencies to withdraw the Proposed Rule in its entirety.  </w:t>
      </w:r>
    </w:p>
    <w:p w14:paraId="1F684413" w14:textId="77777777" w:rsidR="008C7C48" w:rsidRPr="00352F4C" w:rsidRDefault="00CB2E16" w:rsidP="001B723A">
      <w:pPr>
        <w:pStyle w:val="Heading1"/>
        <w:rPr>
          <w:rFonts w:cstheme="minorHAnsi"/>
        </w:rPr>
      </w:pPr>
      <w:r w:rsidRPr="00352F4C">
        <w:rPr>
          <w:rFonts w:cstheme="minorHAnsi"/>
        </w:rPr>
        <w:t>Organization</w:t>
      </w:r>
    </w:p>
    <w:p w14:paraId="7E085E59" w14:textId="4E945C80" w:rsidR="00A17ACA" w:rsidRPr="00352F4C" w:rsidRDefault="00CB2E16" w:rsidP="00A17ACA">
      <w:pPr>
        <w:pStyle w:val="BodyText"/>
        <w:rPr>
          <w:rFonts w:cstheme="minorHAnsi"/>
        </w:rPr>
      </w:pPr>
      <w:r w:rsidRPr="00352F4C">
        <w:rPr>
          <w:rFonts w:cstheme="minorHAnsi"/>
          <w:highlight w:val="yellow"/>
        </w:rPr>
        <w:t>[</w:t>
      </w:r>
      <w:r w:rsidR="00546C0A" w:rsidRPr="00352F4C">
        <w:rPr>
          <w:rFonts w:cstheme="minorHAnsi"/>
          <w:highlight w:val="yellow"/>
        </w:rPr>
        <w:t xml:space="preserve">Insert paragraph describing your organization, why </w:t>
      </w:r>
      <w:r w:rsidR="00AD3B74">
        <w:rPr>
          <w:rFonts w:cstheme="minorHAnsi"/>
          <w:highlight w:val="yellow"/>
        </w:rPr>
        <w:t>opposing the rule</w:t>
      </w:r>
      <w:r w:rsidR="00546C0A" w:rsidRPr="00352F4C">
        <w:rPr>
          <w:rFonts w:cstheme="minorHAnsi"/>
          <w:highlight w:val="yellow"/>
        </w:rPr>
        <w:t xml:space="preserve"> is </w:t>
      </w:r>
      <w:r w:rsidR="00D00D96" w:rsidRPr="00352F4C">
        <w:rPr>
          <w:rFonts w:cstheme="minorHAnsi"/>
          <w:highlight w:val="yellow"/>
        </w:rPr>
        <w:t xml:space="preserve">important </w:t>
      </w:r>
      <w:r w:rsidR="00546C0A" w:rsidRPr="00352F4C">
        <w:rPr>
          <w:rFonts w:cstheme="minorHAnsi"/>
          <w:highlight w:val="yellow"/>
        </w:rPr>
        <w:t>to your organization, and the expertise that your organization has on the issues raised here.</w:t>
      </w:r>
      <w:r w:rsidR="00D078A5" w:rsidRPr="00352F4C">
        <w:rPr>
          <w:rFonts w:cstheme="minorHAnsi"/>
          <w:highlight w:val="yellow"/>
        </w:rPr>
        <w:t xml:space="preserve">  Include data about the population you serve</w:t>
      </w:r>
      <w:r w:rsidR="00D00D96" w:rsidRPr="00352F4C">
        <w:rPr>
          <w:rFonts w:cstheme="minorHAnsi"/>
          <w:highlight w:val="yellow"/>
        </w:rPr>
        <w:t>.</w:t>
      </w:r>
      <w:r w:rsidRPr="00352F4C">
        <w:rPr>
          <w:rFonts w:cstheme="minorHAnsi"/>
          <w:highlight w:val="yellow"/>
        </w:rPr>
        <w:t>]</w:t>
      </w:r>
    </w:p>
    <w:p w14:paraId="01D85659" w14:textId="14F063CF" w:rsidR="00802DB0" w:rsidRPr="00352F4C" w:rsidRDefault="00CB2E16" w:rsidP="001B723A">
      <w:pPr>
        <w:pStyle w:val="Heading1"/>
        <w:rPr>
          <w:rFonts w:cstheme="minorHAnsi"/>
        </w:rPr>
      </w:pPr>
      <w:r w:rsidRPr="00352F4C">
        <w:rPr>
          <w:rFonts w:cstheme="minorHAnsi"/>
        </w:rPr>
        <w:lastRenderedPageBreak/>
        <w:t>LGBTQ/H</w:t>
      </w:r>
      <w:r w:rsidR="00A17ACA" w:rsidRPr="00352F4C">
        <w:rPr>
          <w:rFonts w:cstheme="minorHAnsi"/>
        </w:rPr>
        <w:t xml:space="preserve"> Asylum</w:t>
      </w:r>
      <w:r w:rsidRPr="00352F4C">
        <w:rPr>
          <w:rFonts w:cstheme="minorHAnsi"/>
        </w:rPr>
        <w:t xml:space="preserve"> </w:t>
      </w:r>
      <w:r w:rsidR="00BA679A" w:rsidRPr="00352F4C">
        <w:rPr>
          <w:rFonts w:cstheme="minorHAnsi"/>
        </w:rPr>
        <w:t>Seekers Are Persecuted Throughout the World Because of Their Sexual Orientation, Gender Identity</w:t>
      </w:r>
      <w:r w:rsidR="008525CD" w:rsidRPr="00352F4C">
        <w:rPr>
          <w:rFonts w:cstheme="minorHAnsi"/>
        </w:rPr>
        <w:t>,</w:t>
      </w:r>
      <w:r w:rsidR="00BA679A" w:rsidRPr="00352F4C">
        <w:rPr>
          <w:rFonts w:cstheme="minorHAnsi"/>
        </w:rPr>
        <w:t xml:space="preserve"> and HIV </w:t>
      </w:r>
      <w:r w:rsidR="00AD3B74">
        <w:rPr>
          <w:rFonts w:cstheme="minorHAnsi"/>
        </w:rPr>
        <w:t>S</w:t>
      </w:r>
      <w:r w:rsidR="00BA679A" w:rsidRPr="00352F4C">
        <w:rPr>
          <w:rFonts w:cstheme="minorHAnsi"/>
        </w:rPr>
        <w:t>tatus</w:t>
      </w:r>
      <w:r w:rsidRPr="00352F4C">
        <w:rPr>
          <w:rFonts w:cstheme="minorHAnsi"/>
        </w:rPr>
        <w:t>.</w:t>
      </w:r>
    </w:p>
    <w:p w14:paraId="2395F5CB" w14:textId="699D6973" w:rsidR="00A17ACA" w:rsidRPr="00352F4C" w:rsidRDefault="0007311B" w:rsidP="00A17ACA">
      <w:pPr>
        <w:pStyle w:val="BodyText"/>
        <w:rPr>
          <w:rFonts w:cstheme="minorHAnsi"/>
        </w:rPr>
      </w:pPr>
      <w:r w:rsidRPr="00352F4C">
        <w:rPr>
          <w:rFonts w:cstheme="minorHAnsi"/>
        </w:rPr>
        <w:t xml:space="preserve">In over eighty countries it is illegal or fundamentally unsafe to </w:t>
      </w:r>
      <w:r w:rsidR="00AD3B74">
        <w:rPr>
          <w:rFonts w:cstheme="minorHAnsi"/>
        </w:rPr>
        <w:t xml:space="preserve">be </w:t>
      </w:r>
      <w:r w:rsidRPr="00352F4C">
        <w:rPr>
          <w:rFonts w:cstheme="minorHAnsi"/>
        </w:rPr>
        <w:t xml:space="preserve">LGBTQ. LGBTQ and HIV-positive </w:t>
      </w:r>
      <w:r w:rsidR="00020011">
        <w:rPr>
          <w:rFonts w:cstheme="minorHAnsi"/>
        </w:rPr>
        <w:t xml:space="preserve">(together, “LGBTQ/H”) applicants </w:t>
      </w:r>
      <w:r w:rsidRPr="00352F4C">
        <w:rPr>
          <w:rFonts w:cstheme="minorHAnsi"/>
        </w:rPr>
        <w:t xml:space="preserve">experience persecution across the globe.  Such persecution takes many forms, including: </w:t>
      </w:r>
    </w:p>
    <w:p w14:paraId="4B03253E" w14:textId="594D22F1" w:rsidR="0007311B" w:rsidRPr="00352F4C" w:rsidRDefault="0007311B" w:rsidP="00A17ACA">
      <w:pPr>
        <w:pStyle w:val="BodyText"/>
        <w:rPr>
          <w:rFonts w:cstheme="minorHAnsi"/>
        </w:rPr>
      </w:pPr>
      <w:r w:rsidRPr="00352F4C">
        <w:rPr>
          <w:rFonts w:cstheme="minorHAnsi"/>
          <w:highlight w:val="yellow"/>
        </w:rPr>
        <w:t xml:space="preserve">[Insert section describing the types of persecution your clients </w:t>
      </w:r>
      <w:r w:rsidR="00D00D96" w:rsidRPr="00352F4C">
        <w:rPr>
          <w:rFonts w:cstheme="minorHAnsi"/>
          <w:highlight w:val="yellow"/>
        </w:rPr>
        <w:t>as LGBTQ/H people</w:t>
      </w:r>
      <w:r w:rsidR="00E77384" w:rsidRPr="00352F4C">
        <w:rPr>
          <w:rFonts w:cstheme="minorHAnsi"/>
          <w:highlight w:val="yellow"/>
        </w:rPr>
        <w:t xml:space="preserve"> </w:t>
      </w:r>
      <w:r w:rsidRPr="00352F4C">
        <w:rPr>
          <w:rFonts w:cstheme="minorHAnsi"/>
          <w:highlight w:val="yellow"/>
        </w:rPr>
        <w:t>face throughout the world.  Consider includ</w:t>
      </w:r>
      <w:r w:rsidR="00D00D96" w:rsidRPr="00352F4C">
        <w:rPr>
          <w:rFonts w:cstheme="minorHAnsi"/>
          <w:highlight w:val="yellow"/>
        </w:rPr>
        <w:t>ing</w:t>
      </w:r>
      <w:r w:rsidRPr="00352F4C">
        <w:rPr>
          <w:rFonts w:cstheme="minorHAnsi"/>
          <w:highlight w:val="yellow"/>
        </w:rPr>
        <w:t xml:space="preserve"> case examples</w:t>
      </w:r>
      <w:r w:rsidR="00AD3B74">
        <w:rPr>
          <w:rFonts w:cstheme="minorHAnsi"/>
          <w:highlight w:val="yellow"/>
        </w:rPr>
        <w:t xml:space="preserve"> or select </w:t>
      </w:r>
      <w:r w:rsidRPr="00352F4C">
        <w:rPr>
          <w:rFonts w:cstheme="minorHAnsi"/>
          <w:highlight w:val="yellow"/>
        </w:rPr>
        <w:t xml:space="preserve">from the topics below and consider </w:t>
      </w:r>
      <w:r w:rsidR="00D00D96" w:rsidRPr="00352F4C">
        <w:rPr>
          <w:rFonts w:cstheme="minorHAnsi"/>
          <w:highlight w:val="yellow"/>
        </w:rPr>
        <w:t xml:space="preserve">revising to reflect your experience and </w:t>
      </w:r>
      <w:r w:rsidRPr="00352F4C">
        <w:rPr>
          <w:rFonts w:cstheme="minorHAnsi"/>
          <w:highlight w:val="yellow"/>
        </w:rPr>
        <w:t>including additional sources.  Be sure to either include the source as an attachment or, if you provide a link, indicate that the Agencies should review the linked material and consider it part of the record</w:t>
      </w:r>
      <w:r w:rsidR="00020011">
        <w:rPr>
          <w:rFonts w:cstheme="minorHAnsi"/>
          <w:highlight w:val="yellow"/>
        </w:rPr>
        <w:t xml:space="preserve"> as noted above in FN 1</w:t>
      </w:r>
      <w:r w:rsidRPr="00352F4C">
        <w:rPr>
          <w:rFonts w:cstheme="minorHAnsi"/>
          <w:highlight w:val="yellow"/>
        </w:rPr>
        <w:t>.]</w:t>
      </w:r>
    </w:p>
    <w:p w14:paraId="52B893B7" w14:textId="4575BA97" w:rsidR="004B7D57" w:rsidRPr="00352F4C" w:rsidRDefault="00CB2E16" w:rsidP="004B7D57">
      <w:pPr>
        <w:pStyle w:val="ListBullet"/>
        <w:rPr>
          <w:rFonts w:cstheme="minorHAnsi"/>
        </w:rPr>
      </w:pPr>
      <w:r w:rsidRPr="00352F4C">
        <w:rPr>
          <w:rFonts w:cstheme="minorHAnsi"/>
          <w:b/>
          <w:u w:val="single"/>
        </w:rPr>
        <w:t xml:space="preserve">Criminal </w:t>
      </w:r>
      <w:r w:rsidR="00BC41E6" w:rsidRPr="00352F4C">
        <w:rPr>
          <w:rFonts w:cstheme="minorHAnsi"/>
          <w:b/>
          <w:u w:val="single"/>
        </w:rPr>
        <w:t>punishment</w:t>
      </w:r>
      <w:r w:rsidRPr="00352F4C">
        <w:rPr>
          <w:rFonts w:cstheme="minorHAnsi"/>
        </w:rPr>
        <w:t xml:space="preserve">.  </w:t>
      </w:r>
      <w:r w:rsidR="00A17ACA" w:rsidRPr="00352F4C">
        <w:rPr>
          <w:rFonts w:cstheme="minorHAnsi"/>
        </w:rPr>
        <w:t xml:space="preserve">Same-sex activity between consenting adults is subject to criminal punishment in </w:t>
      </w:r>
      <w:r w:rsidR="0007311B" w:rsidRPr="00352F4C">
        <w:rPr>
          <w:rFonts w:cstheme="minorHAnsi"/>
        </w:rPr>
        <w:t xml:space="preserve">approximately </w:t>
      </w:r>
      <w:r w:rsidR="004E02E7" w:rsidRPr="00352F4C">
        <w:rPr>
          <w:rFonts w:cstheme="minorHAnsi"/>
        </w:rPr>
        <w:t>70</w:t>
      </w:r>
      <w:r w:rsidR="00A17ACA" w:rsidRPr="00352F4C">
        <w:rPr>
          <w:rFonts w:cstheme="minorHAnsi"/>
        </w:rPr>
        <w:t xml:space="preserve"> countries.</w:t>
      </w:r>
      <w:r w:rsidRPr="00352F4C">
        <w:rPr>
          <w:rStyle w:val="FootnoteReference"/>
          <w:rFonts w:cstheme="minorHAnsi"/>
        </w:rPr>
        <w:footnoteReference w:id="3"/>
      </w:r>
      <w:r w:rsidR="00A17ACA" w:rsidRPr="00352F4C">
        <w:rPr>
          <w:rFonts w:cstheme="minorHAnsi"/>
        </w:rPr>
        <w:t xml:space="preserve">  Of those, </w:t>
      </w:r>
      <w:r w:rsidR="007D1F9A" w:rsidRPr="00352F4C">
        <w:rPr>
          <w:rFonts w:cstheme="minorHAnsi"/>
        </w:rPr>
        <w:t>31</w:t>
      </w:r>
      <w:r w:rsidR="00A17ACA" w:rsidRPr="00352F4C">
        <w:rPr>
          <w:rFonts w:cstheme="minorHAnsi"/>
        </w:rPr>
        <w:t xml:space="preserve"> </w:t>
      </w:r>
      <w:r w:rsidR="007D1F9A" w:rsidRPr="00352F4C">
        <w:rPr>
          <w:rFonts w:cstheme="minorHAnsi"/>
        </w:rPr>
        <w:t>carry</w:t>
      </w:r>
      <w:r w:rsidR="00A17ACA" w:rsidRPr="00352F4C">
        <w:rPr>
          <w:rFonts w:cstheme="minorHAnsi"/>
        </w:rPr>
        <w:t xml:space="preserve"> </w:t>
      </w:r>
      <w:r w:rsidR="00077FC8" w:rsidRPr="00352F4C">
        <w:rPr>
          <w:rFonts w:cstheme="minorHAnsi"/>
        </w:rPr>
        <w:t>a sentence of ten years</w:t>
      </w:r>
      <w:r w:rsidR="007D1F9A" w:rsidRPr="00352F4C">
        <w:rPr>
          <w:rFonts w:cstheme="minorHAnsi"/>
        </w:rPr>
        <w:t xml:space="preserve"> or more</w:t>
      </w:r>
      <w:r w:rsidR="00077FC8" w:rsidRPr="00352F4C">
        <w:rPr>
          <w:rFonts w:cstheme="minorHAnsi"/>
        </w:rPr>
        <w:t xml:space="preserve"> in prison</w:t>
      </w:r>
      <w:r w:rsidR="00A90F07" w:rsidRPr="00352F4C">
        <w:rPr>
          <w:rFonts w:cstheme="minorHAnsi"/>
        </w:rPr>
        <w:t>, and 12 countries allow the death penalty as a sentence</w:t>
      </w:r>
      <w:r w:rsidR="00077FC8" w:rsidRPr="00352F4C">
        <w:rPr>
          <w:rFonts w:cstheme="minorHAnsi"/>
        </w:rPr>
        <w:t xml:space="preserve">. </w:t>
      </w:r>
      <w:r w:rsidRPr="00352F4C">
        <w:rPr>
          <w:rFonts w:cstheme="minorHAnsi"/>
        </w:rPr>
        <w:t xml:space="preserve"> </w:t>
      </w:r>
      <w:r w:rsidR="00D00D96" w:rsidRPr="00352F4C">
        <w:rPr>
          <w:rFonts w:cstheme="minorHAnsi"/>
        </w:rPr>
        <w:t>Twelve</w:t>
      </w:r>
      <w:r w:rsidR="004E02E7" w:rsidRPr="00352F4C">
        <w:rPr>
          <w:rFonts w:cstheme="minorHAnsi"/>
        </w:rPr>
        <w:t xml:space="preserve"> countries target gender identity through “cross-dressing” or “impersonation” laws.</w:t>
      </w:r>
      <w:r w:rsidRPr="00352F4C">
        <w:rPr>
          <w:rStyle w:val="FootnoteReference"/>
          <w:rFonts w:cstheme="minorHAnsi"/>
        </w:rPr>
        <w:footnoteReference w:id="4"/>
      </w:r>
      <w:r w:rsidR="004E02E7" w:rsidRPr="00352F4C">
        <w:rPr>
          <w:rFonts w:cstheme="minorHAnsi"/>
        </w:rPr>
        <w:t xml:space="preserve"> </w:t>
      </w:r>
      <w:r w:rsidR="00AE46C1">
        <w:rPr>
          <w:rFonts w:cstheme="minorHAnsi"/>
        </w:rPr>
        <w:t>Moreover, t</w:t>
      </w:r>
      <w:r w:rsidR="00077FC8" w:rsidRPr="00352F4C">
        <w:rPr>
          <w:rFonts w:cstheme="minorHAnsi"/>
        </w:rPr>
        <w:t xml:space="preserve">hese laws are not historical artifacts: </w:t>
      </w:r>
      <w:r w:rsidR="008525CD" w:rsidRPr="00352F4C">
        <w:rPr>
          <w:rFonts w:cstheme="minorHAnsi"/>
        </w:rPr>
        <w:t xml:space="preserve">for example, </w:t>
      </w:r>
      <w:r w:rsidR="00077FC8" w:rsidRPr="00352F4C">
        <w:rPr>
          <w:rFonts w:cstheme="minorHAnsi"/>
        </w:rPr>
        <w:t>in 2019, Gabon adopted a new penal code that criminalizes co</w:t>
      </w:r>
      <w:r w:rsidRPr="00352F4C">
        <w:rPr>
          <w:rFonts w:cstheme="minorHAnsi"/>
        </w:rPr>
        <w:t>nsensual same-sex sexual acts.</w:t>
      </w:r>
      <w:r w:rsidRPr="00352F4C">
        <w:rPr>
          <w:rStyle w:val="FootnoteReference"/>
          <w:rFonts w:cstheme="minorHAnsi"/>
        </w:rPr>
        <w:footnoteReference w:id="5"/>
      </w:r>
      <w:r w:rsidRPr="00352F4C">
        <w:rPr>
          <w:rFonts w:cstheme="minorHAnsi"/>
        </w:rPr>
        <w:t xml:space="preserve"> </w:t>
      </w:r>
      <w:r w:rsidR="003545F8" w:rsidRPr="00352F4C">
        <w:rPr>
          <w:rFonts w:cstheme="minorHAnsi"/>
        </w:rPr>
        <w:t xml:space="preserve"> </w:t>
      </w:r>
    </w:p>
    <w:p w14:paraId="0E07A54E" w14:textId="23191836" w:rsidR="008149D0" w:rsidRPr="00352F4C" w:rsidRDefault="00CB2E16" w:rsidP="00077EF5">
      <w:pPr>
        <w:pStyle w:val="ListBullet"/>
        <w:rPr>
          <w:rFonts w:cstheme="minorHAnsi"/>
        </w:rPr>
      </w:pPr>
      <w:r w:rsidRPr="00352F4C">
        <w:rPr>
          <w:rFonts w:cstheme="minorHAnsi"/>
          <w:b/>
          <w:u w:val="single"/>
        </w:rPr>
        <w:t>Social stigma</w:t>
      </w:r>
      <w:r w:rsidR="00D6673E" w:rsidRPr="00352F4C">
        <w:rPr>
          <w:rFonts w:cstheme="minorHAnsi"/>
        </w:rPr>
        <w:t xml:space="preserve">.  </w:t>
      </w:r>
      <w:r w:rsidRPr="00352F4C">
        <w:rPr>
          <w:rFonts w:cstheme="minorHAnsi"/>
        </w:rPr>
        <w:t xml:space="preserve">Many countries </w:t>
      </w:r>
      <w:r w:rsidR="00454925" w:rsidRPr="00352F4C">
        <w:rPr>
          <w:rFonts w:cstheme="minorHAnsi"/>
        </w:rPr>
        <w:t>have a pervasive culture of systemic anti-LGBTQ bias</w:t>
      </w:r>
      <w:r w:rsidRPr="00352F4C">
        <w:rPr>
          <w:rFonts w:cstheme="minorHAnsi"/>
        </w:rPr>
        <w:t>.  In those countri</w:t>
      </w:r>
      <w:r w:rsidR="00D6673E" w:rsidRPr="00352F4C">
        <w:rPr>
          <w:rFonts w:cstheme="minorHAnsi"/>
        </w:rPr>
        <w:t xml:space="preserve">es, </w:t>
      </w:r>
      <w:r w:rsidRPr="00352F4C">
        <w:rPr>
          <w:rFonts w:cstheme="minorHAnsi"/>
        </w:rPr>
        <w:t xml:space="preserve">LGBTQ status carries extreme social stigma.  </w:t>
      </w:r>
      <w:r w:rsidR="00454925" w:rsidRPr="00352F4C">
        <w:rPr>
          <w:rFonts w:cstheme="minorHAnsi"/>
        </w:rPr>
        <w:t>Many nations punish LGBTQ people by preventing them from participating in everyday life. LGBTQ people are shunned as vile, prevented from obtaining an education,</w:t>
      </w:r>
      <w:r w:rsidR="00B8626C" w:rsidRPr="00352F4C">
        <w:rPr>
          <w:rStyle w:val="FootnoteReference"/>
          <w:rFonts w:cstheme="minorHAnsi"/>
        </w:rPr>
        <w:footnoteReference w:id="6"/>
      </w:r>
      <w:r w:rsidR="00454925" w:rsidRPr="00352F4C">
        <w:rPr>
          <w:rFonts w:cstheme="minorHAnsi"/>
        </w:rPr>
        <w:t xml:space="preserve"> refused employment, refused housing and healthcare, stripped of </w:t>
      </w:r>
      <w:r w:rsidR="00B8626C" w:rsidRPr="00352F4C">
        <w:rPr>
          <w:rFonts w:cstheme="minorHAnsi"/>
        </w:rPr>
        <w:t xml:space="preserve">family or </w:t>
      </w:r>
      <w:r w:rsidR="00454925" w:rsidRPr="00352F4C">
        <w:rPr>
          <w:rFonts w:cstheme="minorHAnsi"/>
        </w:rPr>
        <w:t>parental rights,</w:t>
      </w:r>
      <w:r w:rsidR="00B8626C" w:rsidRPr="00352F4C">
        <w:rPr>
          <w:rStyle w:val="FootnoteReference"/>
          <w:rFonts w:cstheme="minorHAnsi"/>
        </w:rPr>
        <w:footnoteReference w:id="7"/>
      </w:r>
      <w:r w:rsidR="00454925" w:rsidRPr="00352F4C">
        <w:rPr>
          <w:rFonts w:cstheme="minorHAnsi"/>
        </w:rPr>
        <w:t xml:space="preserve"> </w:t>
      </w:r>
      <w:r w:rsidR="00B8626C" w:rsidRPr="00352F4C">
        <w:rPr>
          <w:rFonts w:cstheme="minorHAnsi"/>
        </w:rPr>
        <w:t xml:space="preserve">and </w:t>
      </w:r>
      <w:r w:rsidR="00454925" w:rsidRPr="00352F4C">
        <w:rPr>
          <w:rFonts w:cstheme="minorHAnsi"/>
        </w:rPr>
        <w:t>denied access to politics or power.</w:t>
      </w:r>
      <w:r w:rsidR="00B8626C" w:rsidRPr="00352F4C">
        <w:rPr>
          <w:rFonts w:cstheme="minorHAnsi"/>
        </w:rPr>
        <w:t xml:space="preserve">  </w:t>
      </w:r>
      <w:r w:rsidR="00454925" w:rsidRPr="00352F4C">
        <w:rPr>
          <w:rFonts w:cstheme="minorHAnsi"/>
        </w:rPr>
        <w:t xml:space="preserve">Such remarkable exclusion rises to the level of persecution. </w:t>
      </w:r>
      <w:r w:rsidR="0034249E" w:rsidRPr="00352F4C">
        <w:rPr>
          <w:rFonts w:cstheme="minorHAnsi"/>
        </w:rPr>
        <w:t>In Brunei, for example, a woman was outed as a lesbian</w:t>
      </w:r>
      <w:r w:rsidR="00454925" w:rsidRPr="00352F4C">
        <w:rPr>
          <w:rFonts w:cstheme="minorHAnsi"/>
        </w:rPr>
        <w:t xml:space="preserve"> and then</w:t>
      </w:r>
      <w:r w:rsidR="0034249E" w:rsidRPr="00352F4C">
        <w:rPr>
          <w:rFonts w:cstheme="minorHAnsi"/>
        </w:rPr>
        <w:t xml:space="preserve"> ostracized</w:t>
      </w:r>
      <w:r w:rsidR="00454925" w:rsidRPr="00352F4C">
        <w:rPr>
          <w:rFonts w:cstheme="minorHAnsi"/>
        </w:rPr>
        <w:t xml:space="preserve"> by her community.</w:t>
      </w:r>
      <w:r w:rsidR="00AE46C1">
        <w:rPr>
          <w:rFonts w:cstheme="minorHAnsi"/>
        </w:rPr>
        <w:t xml:space="preserve"> </w:t>
      </w:r>
      <w:r w:rsidR="00454925" w:rsidRPr="00352F4C">
        <w:rPr>
          <w:rFonts w:cstheme="minorHAnsi"/>
        </w:rPr>
        <w:t xml:space="preserve"> She lost everything</w:t>
      </w:r>
      <w:r w:rsidR="0034249E" w:rsidRPr="00352F4C">
        <w:rPr>
          <w:rFonts w:cstheme="minorHAnsi"/>
        </w:rPr>
        <w:t xml:space="preserve">.  She was </w:t>
      </w:r>
      <w:r w:rsidR="0034249E" w:rsidRPr="00352F4C">
        <w:rPr>
          <w:rFonts w:cstheme="minorHAnsi"/>
        </w:rPr>
        <w:lastRenderedPageBreak/>
        <w:t xml:space="preserve">fired from her job, and an influential man blackmailed her into sex work.  She </w:t>
      </w:r>
      <w:r w:rsidR="004E02E7" w:rsidRPr="00352F4C">
        <w:rPr>
          <w:rFonts w:cstheme="minorHAnsi"/>
        </w:rPr>
        <w:t>stated</w:t>
      </w:r>
      <w:r w:rsidR="0034249E" w:rsidRPr="00352F4C">
        <w:rPr>
          <w:rFonts w:cstheme="minorHAnsi"/>
        </w:rPr>
        <w:t xml:space="preserve"> to </w:t>
      </w:r>
      <w:r w:rsidR="0034249E" w:rsidRPr="00D44409">
        <w:rPr>
          <w:rFonts w:cstheme="minorHAnsi"/>
          <w:i/>
        </w:rPr>
        <w:t>The Telegraph</w:t>
      </w:r>
      <w:r w:rsidR="0034249E" w:rsidRPr="00352F4C">
        <w:rPr>
          <w:rFonts w:cstheme="minorHAnsi"/>
        </w:rPr>
        <w:t xml:space="preserve"> that she </w:t>
      </w:r>
      <w:r w:rsidR="00AE46C1">
        <w:rPr>
          <w:rFonts w:cstheme="minorHAnsi"/>
        </w:rPr>
        <w:t>was</w:t>
      </w:r>
      <w:r w:rsidR="0034249E" w:rsidRPr="00352F4C">
        <w:rPr>
          <w:rFonts w:cstheme="minorHAnsi"/>
        </w:rPr>
        <w:t xml:space="preserve"> “already living a prison sentence.”</w:t>
      </w:r>
      <w:r w:rsidRPr="00352F4C">
        <w:rPr>
          <w:rStyle w:val="FootnoteReference"/>
          <w:rFonts w:cstheme="minorHAnsi"/>
        </w:rPr>
        <w:footnoteReference w:id="8"/>
      </w:r>
      <w:r w:rsidR="004E02E7" w:rsidRPr="00352F4C">
        <w:rPr>
          <w:rFonts w:cstheme="minorHAnsi"/>
        </w:rPr>
        <w:t xml:space="preserve">  </w:t>
      </w:r>
    </w:p>
    <w:p w14:paraId="565D624C" w14:textId="3F378B36" w:rsidR="0076265A" w:rsidRPr="00352F4C" w:rsidRDefault="00CB2E16" w:rsidP="004E02E7">
      <w:pPr>
        <w:pStyle w:val="ListBullet"/>
        <w:rPr>
          <w:rFonts w:cstheme="minorHAnsi"/>
          <w:b/>
        </w:rPr>
      </w:pPr>
      <w:r w:rsidRPr="00352F4C">
        <w:rPr>
          <w:rFonts w:cstheme="minorHAnsi"/>
          <w:b/>
          <w:u w:val="single"/>
        </w:rPr>
        <w:t>Abuse and violence</w:t>
      </w:r>
      <w:r w:rsidR="00D6673E" w:rsidRPr="00352F4C">
        <w:rPr>
          <w:rFonts w:cstheme="minorHAnsi"/>
        </w:rPr>
        <w:t xml:space="preserve">.  </w:t>
      </w:r>
      <w:r w:rsidRPr="00352F4C">
        <w:rPr>
          <w:rFonts w:cstheme="minorHAnsi"/>
        </w:rPr>
        <w:t>LGBTQ people are frequently subject</w:t>
      </w:r>
      <w:r w:rsidR="00020011">
        <w:rPr>
          <w:rFonts w:cstheme="minorHAnsi"/>
        </w:rPr>
        <w:t>ed</w:t>
      </w:r>
      <w:r w:rsidRPr="00352F4C">
        <w:rPr>
          <w:rFonts w:cstheme="minorHAnsi"/>
        </w:rPr>
        <w:t xml:space="preserve"> to abuse and violence</w:t>
      </w:r>
      <w:r w:rsidR="008E62BA">
        <w:rPr>
          <w:rFonts w:cstheme="minorHAnsi"/>
        </w:rPr>
        <w:t xml:space="preserve"> throughout the world</w:t>
      </w:r>
      <w:r w:rsidRPr="00352F4C">
        <w:rPr>
          <w:rFonts w:cstheme="minorHAnsi"/>
        </w:rPr>
        <w:t xml:space="preserve">, including rape and sexual </w:t>
      </w:r>
      <w:r w:rsidR="00E24F6A" w:rsidRPr="00352F4C">
        <w:rPr>
          <w:rFonts w:cstheme="minorHAnsi"/>
        </w:rPr>
        <w:t>assault</w:t>
      </w:r>
      <w:r w:rsidRPr="00352F4C">
        <w:rPr>
          <w:rFonts w:cstheme="minorHAnsi"/>
        </w:rPr>
        <w:t>, physical abuse, and murder.</w:t>
      </w:r>
      <w:r w:rsidR="00C45F9F" w:rsidRPr="00352F4C">
        <w:rPr>
          <w:rFonts w:cstheme="minorHAnsi"/>
        </w:rPr>
        <w:t xml:space="preserve">  For example, according to UNHCR, “88 percent of LGBTI asylum seekers from the Northern Triangle interviewed [] reported having suffered sexual and gender-based violence in their countries of origin.”</w:t>
      </w:r>
      <w:r w:rsidRPr="00352F4C">
        <w:rPr>
          <w:rStyle w:val="FootnoteReference"/>
          <w:rFonts w:cstheme="minorHAnsi"/>
        </w:rPr>
        <w:footnoteReference w:id="9"/>
      </w:r>
      <w:r w:rsidRPr="00352F4C">
        <w:rPr>
          <w:rFonts w:cstheme="minorHAnsi"/>
        </w:rPr>
        <w:t xml:space="preserve">  This violence is often perpetrated by private actors, such as family and community members.</w:t>
      </w:r>
      <w:r w:rsidR="00A90F07" w:rsidRPr="00352F4C">
        <w:rPr>
          <w:rFonts w:cstheme="minorHAnsi"/>
        </w:rPr>
        <w:t xml:space="preserve">  </w:t>
      </w:r>
      <w:r w:rsidR="004E02E7" w:rsidRPr="00352F4C">
        <w:rPr>
          <w:rFonts w:cstheme="minorHAnsi"/>
        </w:rPr>
        <w:t>In Iraq, gay men report severe beatings and death threats at the hands of their own family members.</w:t>
      </w:r>
      <w:r w:rsidRPr="00352F4C">
        <w:rPr>
          <w:rStyle w:val="FootnoteReference"/>
          <w:rFonts w:cstheme="minorHAnsi"/>
        </w:rPr>
        <w:footnoteReference w:id="10"/>
      </w:r>
      <w:r w:rsidR="004E02E7" w:rsidRPr="00352F4C">
        <w:rPr>
          <w:rFonts w:cstheme="minorHAnsi"/>
        </w:rPr>
        <w:t xml:space="preserve">  </w:t>
      </w:r>
      <w:r w:rsidR="0052505C" w:rsidRPr="00352F4C">
        <w:rPr>
          <w:rFonts w:cstheme="minorHAnsi"/>
        </w:rPr>
        <w:t xml:space="preserve">Moreover, </w:t>
      </w:r>
      <w:r w:rsidR="00D00D96" w:rsidRPr="00352F4C">
        <w:rPr>
          <w:rFonts w:cstheme="minorHAnsi"/>
        </w:rPr>
        <w:t>such persecution</w:t>
      </w:r>
      <w:r w:rsidR="0052505C" w:rsidRPr="00352F4C">
        <w:rPr>
          <w:rFonts w:cstheme="minorHAnsi"/>
        </w:rPr>
        <w:t xml:space="preserve"> routinely goes underreported.</w:t>
      </w:r>
      <w:r w:rsidR="00390CB5" w:rsidRPr="00352F4C">
        <w:rPr>
          <w:rFonts w:cstheme="minorHAnsi"/>
        </w:rPr>
        <w:t xml:space="preserve">  </w:t>
      </w:r>
      <w:r w:rsidR="004E02E7" w:rsidRPr="00352F4C">
        <w:rPr>
          <w:rFonts w:cstheme="minorHAnsi"/>
        </w:rPr>
        <w:t>In Jamaica, attacks by mobs and the police target low-income LGBTQ people, producing homelessness.</w:t>
      </w:r>
      <w:r w:rsidRPr="00352F4C">
        <w:rPr>
          <w:rStyle w:val="FootnoteReference"/>
          <w:rFonts w:cstheme="minorHAnsi"/>
        </w:rPr>
        <w:footnoteReference w:id="11"/>
      </w:r>
      <w:r w:rsidR="004E02E7" w:rsidRPr="00352F4C">
        <w:rPr>
          <w:rFonts w:cstheme="minorHAnsi"/>
        </w:rPr>
        <w:t xml:space="preserve">  </w:t>
      </w:r>
      <w:r w:rsidR="00390CB5" w:rsidRPr="00352F4C">
        <w:rPr>
          <w:rFonts w:cstheme="minorHAnsi"/>
        </w:rPr>
        <w:t>As the State Department has noted, “[r]</w:t>
      </w:r>
      <w:proofErr w:type="spellStart"/>
      <w:r w:rsidR="00390CB5" w:rsidRPr="00352F4C">
        <w:rPr>
          <w:rFonts w:cstheme="minorHAnsi"/>
        </w:rPr>
        <w:t>eluctance</w:t>
      </w:r>
      <w:proofErr w:type="spellEnd"/>
      <w:r w:rsidR="00390CB5" w:rsidRPr="00352F4C">
        <w:rPr>
          <w:rFonts w:cstheme="minorHAnsi"/>
        </w:rPr>
        <w:t xml:space="preserve"> to report abuse—by women, children, lesbian, gay, bisexual, transgender, or intersex persons (LGBTI), and members of other groups—is, of course, often a factor in the underreporting of abuses.”</w:t>
      </w:r>
      <w:r w:rsidRPr="00352F4C">
        <w:rPr>
          <w:rStyle w:val="FootnoteReference"/>
          <w:rFonts w:cstheme="minorHAnsi"/>
        </w:rPr>
        <w:footnoteReference w:id="12"/>
      </w:r>
      <w:r w:rsidR="00390CB5" w:rsidRPr="00352F4C">
        <w:rPr>
          <w:rFonts w:cstheme="minorHAnsi"/>
        </w:rPr>
        <w:t xml:space="preserve">  </w:t>
      </w:r>
      <w:r w:rsidR="004E02E7" w:rsidRPr="00352F4C">
        <w:rPr>
          <w:rFonts w:cstheme="minorHAnsi"/>
        </w:rPr>
        <w:t>Violence is sometimes outside the reach of the state, and sometimes takes place where weak governments depend on allied armed groups to provide security.</w:t>
      </w:r>
      <w:r w:rsidRPr="00352F4C">
        <w:rPr>
          <w:rStyle w:val="FootnoteReference"/>
          <w:rFonts w:cstheme="minorHAnsi"/>
        </w:rPr>
        <w:footnoteReference w:id="13"/>
      </w:r>
      <w:r w:rsidR="004E02E7" w:rsidRPr="00352F4C">
        <w:rPr>
          <w:rFonts w:cstheme="minorHAnsi"/>
        </w:rPr>
        <w:t xml:space="preserve">  That said, LGBTQ violence can sometimes occur at the direction of the police, as in Chechnya, where hundreds of individuals suspected to be LGBTQ have reportedly been detained and tortured by the police since 2017.</w:t>
      </w:r>
      <w:r w:rsidRPr="00352F4C">
        <w:rPr>
          <w:rStyle w:val="FootnoteReference"/>
          <w:rFonts w:cstheme="minorHAnsi"/>
        </w:rPr>
        <w:footnoteReference w:id="14"/>
      </w:r>
    </w:p>
    <w:p w14:paraId="5790E9F4" w14:textId="22587132" w:rsidR="00AB07B9" w:rsidRPr="00352F4C" w:rsidRDefault="00CB2E16" w:rsidP="004E02E7">
      <w:pPr>
        <w:pStyle w:val="ListBullet"/>
        <w:rPr>
          <w:rFonts w:cstheme="minorHAnsi"/>
        </w:rPr>
      </w:pPr>
      <w:r w:rsidRPr="00352F4C">
        <w:rPr>
          <w:rFonts w:cstheme="minorHAnsi"/>
          <w:b/>
          <w:u w:val="single"/>
        </w:rPr>
        <w:t xml:space="preserve">No </w:t>
      </w:r>
      <w:r w:rsidR="00457075" w:rsidRPr="00352F4C">
        <w:rPr>
          <w:rFonts w:cstheme="minorHAnsi"/>
          <w:b/>
          <w:u w:val="single"/>
        </w:rPr>
        <w:t>legal</w:t>
      </w:r>
      <w:r w:rsidRPr="00352F4C">
        <w:rPr>
          <w:rFonts w:cstheme="minorHAnsi"/>
          <w:b/>
          <w:u w:val="single"/>
        </w:rPr>
        <w:t xml:space="preserve"> recourse</w:t>
      </w:r>
      <w:r w:rsidR="00D6673E" w:rsidRPr="00352F4C">
        <w:rPr>
          <w:rFonts w:cstheme="minorHAnsi"/>
        </w:rPr>
        <w:t xml:space="preserve">.  </w:t>
      </w:r>
      <w:r w:rsidRPr="00352F4C">
        <w:rPr>
          <w:rFonts w:cstheme="minorHAnsi"/>
        </w:rPr>
        <w:t xml:space="preserve">LGBTQ people frequently cannot report private violence to the police in </w:t>
      </w:r>
      <w:r w:rsidR="00D44409">
        <w:rPr>
          <w:rFonts w:cstheme="minorHAnsi"/>
        </w:rPr>
        <w:t xml:space="preserve">the </w:t>
      </w:r>
      <w:r w:rsidR="00E914E2" w:rsidRPr="00352F4C">
        <w:rPr>
          <w:rFonts w:cstheme="minorHAnsi"/>
        </w:rPr>
        <w:t>countries where they experience persecution</w:t>
      </w:r>
      <w:r w:rsidRPr="00352F4C">
        <w:rPr>
          <w:rFonts w:cstheme="minorHAnsi"/>
        </w:rPr>
        <w:t xml:space="preserve">.  Police officers and other authority figures are often the agents of persecution </w:t>
      </w:r>
      <w:r w:rsidR="00D6673E" w:rsidRPr="00352F4C">
        <w:rPr>
          <w:rFonts w:cstheme="minorHAnsi"/>
        </w:rPr>
        <w:t>themselves</w:t>
      </w:r>
      <w:r w:rsidRPr="00352F4C">
        <w:rPr>
          <w:rFonts w:cstheme="minorHAnsi"/>
        </w:rPr>
        <w:t>, and LGBTQ people are terrified that going to the police will result in retaliation in the form of rape, beatings, or murder.</w:t>
      </w:r>
      <w:r w:rsidRPr="00352F4C">
        <w:rPr>
          <w:rStyle w:val="FootnoteReference"/>
          <w:rFonts w:cstheme="minorHAnsi"/>
        </w:rPr>
        <w:footnoteReference w:id="15"/>
      </w:r>
      <w:r w:rsidRPr="00352F4C">
        <w:rPr>
          <w:rFonts w:cstheme="minorHAnsi"/>
        </w:rPr>
        <w:t xml:space="preserve">  Even if the </w:t>
      </w:r>
      <w:r w:rsidRPr="00352F4C">
        <w:rPr>
          <w:rFonts w:cstheme="minorHAnsi"/>
        </w:rPr>
        <w:lastRenderedPageBreak/>
        <w:t>police are not themselves the agents of persecution, they often harbor the same intolerant attitudes, viewing violence aga</w:t>
      </w:r>
      <w:r w:rsidR="00D6673E" w:rsidRPr="00352F4C">
        <w:rPr>
          <w:rFonts w:cstheme="minorHAnsi"/>
        </w:rPr>
        <w:t xml:space="preserve">inst LGBTQ people </w:t>
      </w:r>
      <w:r w:rsidR="00E914E2" w:rsidRPr="00352F4C">
        <w:rPr>
          <w:rFonts w:cstheme="minorHAnsi"/>
        </w:rPr>
        <w:t xml:space="preserve">as </w:t>
      </w:r>
      <w:r w:rsidR="00D6673E" w:rsidRPr="00352F4C">
        <w:rPr>
          <w:rFonts w:cstheme="minorHAnsi"/>
        </w:rPr>
        <w:t>justified.</w:t>
      </w:r>
      <w:r w:rsidR="00390CB5" w:rsidRPr="00352F4C">
        <w:rPr>
          <w:rFonts w:cstheme="minorHAnsi"/>
        </w:rPr>
        <w:t xml:space="preserve">  For this reason, </w:t>
      </w:r>
      <w:r w:rsidR="00E914E2" w:rsidRPr="00352F4C">
        <w:rPr>
          <w:rFonts w:cstheme="minorHAnsi"/>
        </w:rPr>
        <w:t xml:space="preserve">for example, </w:t>
      </w:r>
      <w:r w:rsidR="00390CB5" w:rsidRPr="00352F4C">
        <w:rPr>
          <w:rFonts w:cstheme="minorHAnsi"/>
        </w:rPr>
        <w:t>in</w:t>
      </w:r>
      <w:r w:rsidR="004E02E7" w:rsidRPr="00352F4C">
        <w:rPr>
          <w:rFonts w:cstheme="minorHAnsi"/>
        </w:rPr>
        <w:t xml:space="preserve"> Russia, police facing LGBTQ violence are “dismissive and reluctant to investigate effectively, often blaming victims for the attacks.”</w:t>
      </w:r>
      <w:r w:rsidRPr="00352F4C">
        <w:rPr>
          <w:rStyle w:val="FootnoteReference"/>
          <w:rFonts w:cstheme="minorHAnsi"/>
        </w:rPr>
        <w:footnoteReference w:id="16"/>
      </w:r>
      <w:r w:rsidR="004E02E7" w:rsidRPr="00352F4C">
        <w:rPr>
          <w:rFonts w:cstheme="minorHAnsi"/>
        </w:rPr>
        <w:t xml:space="preserve">  </w:t>
      </w:r>
      <w:r w:rsidR="00390CB5" w:rsidRPr="00352F4C">
        <w:rPr>
          <w:rFonts w:cstheme="minorHAnsi"/>
        </w:rPr>
        <w:t xml:space="preserve"> </w:t>
      </w:r>
      <w:r w:rsidR="00D44409">
        <w:rPr>
          <w:rFonts w:cstheme="minorHAnsi"/>
        </w:rPr>
        <w:t xml:space="preserve">In </w:t>
      </w:r>
      <w:r w:rsidR="00390CB5" w:rsidRPr="00352F4C">
        <w:rPr>
          <w:rFonts w:cstheme="minorHAnsi"/>
        </w:rPr>
        <w:t>El Salvador, “[o]</w:t>
      </w:r>
      <w:proofErr w:type="spellStart"/>
      <w:r w:rsidR="00390CB5" w:rsidRPr="00352F4C">
        <w:rPr>
          <w:rFonts w:cstheme="minorHAnsi"/>
        </w:rPr>
        <w:t>nly</w:t>
      </w:r>
      <w:proofErr w:type="spellEnd"/>
      <w:r w:rsidR="00390CB5" w:rsidRPr="00352F4C">
        <w:rPr>
          <w:rFonts w:cstheme="minorHAnsi"/>
        </w:rPr>
        <w:t xml:space="preserve"> 12 out of 109 LGBT+ murders recorded between December 2014 and March 2017 went to trial . . . and there has never been a successful conviction.”</w:t>
      </w:r>
      <w:r w:rsidR="00390CB5" w:rsidRPr="00352F4C">
        <w:rPr>
          <w:rStyle w:val="FootnoteReference"/>
          <w:rFonts w:cstheme="minorHAnsi"/>
        </w:rPr>
        <w:t xml:space="preserve"> </w:t>
      </w:r>
      <w:r w:rsidRPr="00352F4C">
        <w:rPr>
          <w:rStyle w:val="FootnoteReference"/>
          <w:rFonts w:cstheme="minorHAnsi"/>
        </w:rPr>
        <w:footnoteReference w:id="17"/>
      </w:r>
      <w:r w:rsidR="00EB4AA3" w:rsidRPr="00352F4C">
        <w:rPr>
          <w:rFonts w:cstheme="minorHAnsi"/>
        </w:rPr>
        <w:t xml:space="preserve">  Last March, Uganda used the COVID-19 outbreak as a pretext to arrest 23 people living at an LGBT shelter.</w:t>
      </w:r>
      <w:r w:rsidRPr="00352F4C">
        <w:rPr>
          <w:rStyle w:val="FootnoteReference"/>
          <w:rFonts w:cstheme="minorHAnsi"/>
        </w:rPr>
        <w:footnoteReference w:id="18"/>
      </w:r>
      <w:r w:rsidR="00EB4AA3" w:rsidRPr="00352F4C">
        <w:rPr>
          <w:rFonts w:cstheme="minorHAnsi"/>
        </w:rPr>
        <w:t xml:space="preserve">  In October 2019, a mob in Uganda attacked 16</w:t>
      </w:r>
      <w:r w:rsidR="0034249E" w:rsidRPr="00352F4C">
        <w:rPr>
          <w:rFonts w:cstheme="minorHAnsi"/>
        </w:rPr>
        <w:t xml:space="preserve"> LGBT</w:t>
      </w:r>
      <w:r w:rsidR="000E7E4C">
        <w:rPr>
          <w:rFonts w:cstheme="minorHAnsi"/>
        </w:rPr>
        <w:t>Q</w:t>
      </w:r>
      <w:r w:rsidR="00EB4AA3" w:rsidRPr="00352F4C">
        <w:rPr>
          <w:rFonts w:cstheme="minorHAnsi"/>
        </w:rPr>
        <w:t xml:space="preserve"> </w:t>
      </w:r>
      <w:r w:rsidR="0034249E" w:rsidRPr="00352F4C">
        <w:rPr>
          <w:rFonts w:cstheme="minorHAnsi"/>
        </w:rPr>
        <w:t>activists</w:t>
      </w:r>
      <w:r w:rsidR="00EB4AA3" w:rsidRPr="00352F4C">
        <w:rPr>
          <w:rFonts w:cstheme="minorHAnsi"/>
        </w:rPr>
        <w:t xml:space="preserve">.  </w:t>
      </w:r>
      <w:r w:rsidR="0034249E" w:rsidRPr="00352F4C">
        <w:rPr>
          <w:rFonts w:cstheme="minorHAnsi"/>
        </w:rPr>
        <w:t>After dispersing the mob</w:t>
      </w:r>
      <w:r w:rsidR="00EB4AA3" w:rsidRPr="00352F4C">
        <w:rPr>
          <w:rFonts w:cstheme="minorHAnsi"/>
        </w:rPr>
        <w:t>, the police arrested the 16 LGBT</w:t>
      </w:r>
      <w:r w:rsidR="000E7E4C">
        <w:rPr>
          <w:rFonts w:cstheme="minorHAnsi"/>
        </w:rPr>
        <w:t>Q</w:t>
      </w:r>
      <w:r w:rsidR="00EB4AA3" w:rsidRPr="00352F4C">
        <w:rPr>
          <w:rFonts w:cstheme="minorHAnsi"/>
        </w:rPr>
        <w:t xml:space="preserve"> individuals and subjected them to </w:t>
      </w:r>
      <w:r w:rsidR="0034249E" w:rsidRPr="00352F4C">
        <w:rPr>
          <w:rFonts w:cstheme="minorHAnsi"/>
        </w:rPr>
        <w:t>homopho</w:t>
      </w:r>
      <w:r w:rsidR="000E7E4C">
        <w:rPr>
          <w:rFonts w:cstheme="minorHAnsi"/>
        </w:rPr>
        <w:t>bic</w:t>
      </w:r>
      <w:r w:rsidR="0034249E" w:rsidRPr="00352F4C">
        <w:rPr>
          <w:rFonts w:cstheme="minorHAnsi"/>
        </w:rPr>
        <w:t xml:space="preserve"> insults and forced </w:t>
      </w:r>
      <w:r w:rsidR="00EB4AA3" w:rsidRPr="00352F4C">
        <w:rPr>
          <w:rFonts w:cstheme="minorHAnsi"/>
        </w:rPr>
        <w:t>anal examinations.</w:t>
      </w:r>
      <w:r w:rsidRPr="00352F4C">
        <w:rPr>
          <w:rStyle w:val="FootnoteReference"/>
          <w:rFonts w:cstheme="minorHAnsi"/>
        </w:rPr>
        <w:footnoteReference w:id="19"/>
      </w:r>
    </w:p>
    <w:p w14:paraId="6D6C2881" w14:textId="48ED8A17" w:rsidR="00D6673E" w:rsidRPr="00352F4C" w:rsidRDefault="00CB2E16" w:rsidP="00A17ACA">
      <w:pPr>
        <w:pStyle w:val="ListBullet"/>
        <w:rPr>
          <w:rFonts w:cstheme="minorHAnsi"/>
        </w:rPr>
      </w:pPr>
      <w:r w:rsidRPr="00352F4C">
        <w:rPr>
          <w:rFonts w:cstheme="minorHAnsi"/>
          <w:b/>
          <w:u w:val="single"/>
        </w:rPr>
        <w:t>Corrective rape and conversion therapy</w:t>
      </w:r>
      <w:r w:rsidRPr="00352F4C">
        <w:rPr>
          <w:rFonts w:cstheme="minorHAnsi"/>
        </w:rPr>
        <w:t xml:space="preserve">.  In many countries, LGBTQ people are subject to </w:t>
      </w:r>
      <w:r w:rsidR="004E02E7" w:rsidRPr="00352F4C">
        <w:rPr>
          <w:rFonts w:cstheme="minorHAnsi"/>
        </w:rPr>
        <w:t xml:space="preserve">“corrective </w:t>
      </w:r>
      <w:r w:rsidRPr="00352F4C">
        <w:rPr>
          <w:rFonts w:cstheme="minorHAnsi"/>
        </w:rPr>
        <w:t>rape</w:t>
      </w:r>
      <w:r w:rsidR="00A90F07" w:rsidRPr="00352F4C">
        <w:rPr>
          <w:rFonts w:cstheme="minorHAnsi"/>
        </w:rPr>
        <w:t>.</w:t>
      </w:r>
      <w:r w:rsidRPr="00352F4C">
        <w:rPr>
          <w:rFonts w:cstheme="minorHAnsi"/>
        </w:rPr>
        <w:t>”</w:t>
      </w:r>
      <w:r w:rsidR="004E02E7" w:rsidRPr="00352F4C">
        <w:rPr>
          <w:rFonts w:cstheme="minorHAnsi"/>
        </w:rPr>
        <w:t xml:space="preserve">  For example, in Jamaica, lesbians are raped </w:t>
      </w:r>
      <w:r w:rsidR="00D44409">
        <w:rPr>
          <w:rFonts w:cstheme="minorHAnsi"/>
        </w:rPr>
        <w:t>under</w:t>
      </w:r>
      <w:r w:rsidR="004E02E7" w:rsidRPr="00352F4C">
        <w:rPr>
          <w:rFonts w:cstheme="minorHAnsi"/>
        </w:rPr>
        <w:t xml:space="preserve"> the belief that intercourse with a man will “cure” them of their sexual orientation.</w:t>
      </w:r>
      <w:r w:rsidRPr="00352F4C">
        <w:rPr>
          <w:rStyle w:val="FootnoteReference"/>
          <w:rFonts w:cstheme="minorHAnsi"/>
        </w:rPr>
        <w:footnoteReference w:id="20"/>
      </w:r>
      <w:r w:rsidR="004E02E7" w:rsidRPr="00352F4C">
        <w:rPr>
          <w:rFonts w:cstheme="minorHAnsi"/>
        </w:rPr>
        <w:t xml:space="preserve">  Likewise, many countries impose rape and torture under the guise of pseudoscientific “therapy.”  In Ecuador, LGBTQ individuals are involuntarily detained in “corrective therapy” clinics, where they are beaten, locked in solitary confinement, </w:t>
      </w:r>
      <w:r w:rsidR="00E24F6A" w:rsidRPr="00352F4C">
        <w:rPr>
          <w:rFonts w:cstheme="minorHAnsi"/>
        </w:rPr>
        <w:t xml:space="preserve">and </w:t>
      </w:r>
      <w:r w:rsidR="004E02E7" w:rsidRPr="00352F4C">
        <w:rPr>
          <w:rFonts w:cstheme="minorHAnsi"/>
        </w:rPr>
        <w:t>force-fed psychoactive drugs</w:t>
      </w:r>
      <w:r w:rsidR="00E24F6A" w:rsidRPr="00352F4C">
        <w:rPr>
          <w:rFonts w:cstheme="minorHAnsi"/>
        </w:rPr>
        <w:t>.</w:t>
      </w:r>
      <w:r w:rsidR="00E24F6A" w:rsidRPr="00352F4C">
        <w:rPr>
          <w:rStyle w:val="FootnoteReference"/>
          <w:rFonts w:cstheme="minorHAnsi"/>
        </w:rPr>
        <w:footnoteReference w:id="21"/>
      </w:r>
      <w:r w:rsidR="004E02E7" w:rsidRPr="00352F4C">
        <w:rPr>
          <w:rFonts w:cstheme="minorHAnsi"/>
        </w:rPr>
        <w:t xml:space="preserve">  The International Rehabilitation Council for Torture Victims reports that in Tunisia, </w:t>
      </w:r>
      <w:r w:rsidR="00CF0C73" w:rsidRPr="00352F4C">
        <w:rPr>
          <w:rFonts w:cstheme="minorHAnsi"/>
        </w:rPr>
        <w:t>Tajikistan</w:t>
      </w:r>
      <w:r w:rsidR="004E02E7" w:rsidRPr="00352F4C">
        <w:rPr>
          <w:rFonts w:cstheme="minorHAnsi"/>
        </w:rPr>
        <w:t>, and Ukraine, conversion therapy or “corrective violence” is ordered by the state or the police.</w:t>
      </w:r>
      <w:r w:rsidRPr="00352F4C">
        <w:rPr>
          <w:rStyle w:val="FootnoteReference"/>
          <w:rFonts w:cstheme="minorHAnsi"/>
        </w:rPr>
        <w:footnoteReference w:id="22"/>
      </w:r>
    </w:p>
    <w:p w14:paraId="695AC829" w14:textId="597BD264" w:rsidR="00066163" w:rsidRPr="00352F4C" w:rsidRDefault="00515CA7" w:rsidP="00A17ACA">
      <w:pPr>
        <w:pStyle w:val="ListBullet"/>
        <w:rPr>
          <w:rFonts w:cstheme="minorHAnsi"/>
        </w:rPr>
      </w:pPr>
      <w:r w:rsidRPr="00352F4C">
        <w:rPr>
          <w:rFonts w:cstheme="minorHAnsi"/>
          <w:b/>
          <w:u w:val="single"/>
        </w:rPr>
        <w:t>Abuse</w:t>
      </w:r>
      <w:r w:rsidR="00CB2E16" w:rsidRPr="00352F4C">
        <w:rPr>
          <w:rFonts w:cstheme="minorHAnsi"/>
          <w:b/>
          <w:u w:val="single"/>
        </w:rPr>
        <w:t xml:space="preserve"> against </w:t>
      </w:r>
      <w:r w:rsidR="00CF0C73">
        <w:rPr>
          <w:rFonts w:cstheme="minorHAnsi"/>
          <w:b/>
          <w:u w:val="single"/>
        </w:rPr>
        <w:t xml:space="preserve">HIV-positive individuals </w:t>
      </w:r>
      <w:r w:rsidR="00CB2E16" w:rsidRPr="00352F4C">
        <w:rPr>
          <w:rFonts w:cstheme="minorHAnsi"/>
          <w:b/>
          <w:u w:val="single"/>
        </w:rPr>
        <w:t xml:space="preserve">perceived to be </w:t>
      </w:r>
      <w:r w:rsidR="00CF0C73">
        <w:rPr>
          <w:rFonts w:cstheme="minorHAnsi"/>
          <w:b/>
          <w:u w:val="single"/>
        </w:rPr>
        <w:t>LGBTQ</w:t>
      </w:r>
      <w:r w:rsidR="00D6673E" w:rsidRPr="00352F4C">
        <w:rPr>
          <w:rFonts w:cstheme="minorHAnsi"/>
        </w:rPr>
        <w:t xml:space="preserve">.  </w:t>
      </w:r>
      <w:r w:rsidR="00E914E2" w:rsidRPr="00352F4C">
        <w:rPr>
          <w:rFonts w:cstheme="minorHAnsi"/>
        </w:rPr>
        <w:t>M</w:t>
      </w:r>
      <w:r w:rsidR="00CB2E16" w:rsidRPr="00352F4C">
        <w:rPr>
          <w:rFonts w:cstheme="minorHAnsi"/>
        </w:rPr>
        <w:t xml:space="preserve">any countries impute LGBTQ status to HIV-positive individuals, assuming that HIV is a “gay disease.”  This </w:t>
      </w:r>
      <w:r w:rsidR="00CB2E16" w:rsidRPr="00352F4C">
        <w:rPr>
          <w:rFonts w:cstheme="minorHAnsi"/>
        </w:rPr>
        <w:lastRenderedPageBreak/>
        <w:t xml:space="preserve">results in </w:t>
      </w:r>
      <w:r w:rsidR="00E24F6A" w:rsidRPr="00352F4C">
        <w:rPr>
          <w:rFonts w:cstheme="minorHAnsi"/>
        </w:rPr>
        <w:t xml:space="preserve">severe stigma and a </w:t>
      </w:r>
      <w:r w:rsidR="00CB2E16" w:rsidRPr="00352F4C">
        <w:rPr>
          <w:rFonts w:cstheme="minorHAnsi"/>
        </w:rPr>
        <w:t>lack of privacy, subjecting individuals to abuse.</w:t>
      </w:r>
      <w:r w:rsidR="00E914E2" w:rsidRPr="00352F4C">
        <w:rPr>
          <w:rFonts w:cstheme="minorHAnsi"/>
        </w:rPr>
        <w:t xml:space="preserve">  </w:t>
      </w:r>
      <w:r w:rsidRPr="00352F4C">
        <w:rPr>
          <w:rFonts w:cstheme="minorHAnsi"/>
        </w:rPr>
        <w:t>In addition to the types of abuse described above, i</w:t>
      </w:r>
      <w:r w:rsidR="00E914E2" w:rsidRPr="00352F4C">
        <w:rPr>
          <w:rFonts w:cstheme="minorHAnsi"/>
        </w:rPr>
        <w:t>ndividuals perceived to be LGBTQ are often subject to HIV tests as conditions for employment.</w:t>
      </w:r>
      <w:r w:rsidR="004E02E7" w:rsidRPr="00352F4C">
        <w:rPr>
          <w:rFonts w:cstheme="minorHAnsi"/>
        </w:rPr>
        <w:t xml:space="preserve">  This leads to</w:t>
      </w:r>
      <w:r w:rsidR="00CF0C73">
        <w:rPr>
          <w:rFonts w:cstheme="minorHAnsi"/>
        </w:rPr>
        <w:t xml:space="preserve"> serious</w:t>
      </w:r>
      <w:r w:rsidR="004E02E7" w:rsidRPr="00352F4C">
        <w:rPr>
          <w:rFonts w:cstheme="minorHAnsi"/>
        </w:rPr>
        <w:t xml:space="preserve"> </w:t>
      </w:r>
      <w:r w:rsidR="00D44409">
        <w:rPr>
          <w:rFonts w:cstheme="minorHAnsi"/>
        </w:rPr>
        <w:t xml:space="preserve">public health </w:t>
      </w:r>
      <w:r w:rsidR="00CF0C73">
        <w:rPr>
          <w:rFonts w:cstheme="minorHAnsi"/>
        </w:rPr>
        <w:t>concerns</w:t>
      </w:r>
      <w:r w:rsidR="004E02E7" w:rsidRPr="00352F4C">
        <w:rPr>
          <w:rFonts w:cstheme="minorHAnsi"/>
        </w:rPr>
        <w:t>: research shows that perceptions and experiences of sexual stigma are associated with</w:t>
      </w:r>
      <w:r w:rsidR="00CF0C73">
        <w:rPr>
          <w:rFonts w:cstheme="minorHAnsi"/>
        </w:rPr>
        <w:t xml:space="preserve"> less</w:t>
      </w:r>
      <w:r w:rsidR="004E02E7" w:rsidRPr="00352F4C">
        <w:rPr>
          <w:rFonts w:cstheme="minorHAnsi"/>
        </w:rPr>
        <w:t xml:space="preserve"> access to HIV services and lower odds of viral suppression.</w:t>
      </w:r>
      <w:r w:rsidR="00CB2E16" w:rsidRPr="00352F4C">
        <w:rPr>
          <w:rStyle w:val="FootnoteReference"/>
          <w:rFonts w:cstheme="minorHAnsi"/>
        </w:rPr>
        <w:footnoteReference w:id="23"/>
      </w:r>
      <w:r w:rsidR="004E02E7" w:rsidRPr="00352F4C">
        <w:rPr>
          <w:rFonts w:cstheme="minorHAnsi"/>
        </w:rPr>
        <w:t xml:space="preserve">  </w:t>
      </w:r>
    </w:p>
    <w:p w14:paraId="395344BA" w14:textId="45EA55DD" w:rsidR="008F386B" w:rsidRPr="00352F4C" w:rsidRDefault="0007311B" w:rsidP="00DA0656">
      <w:pPr>
        <w:pStyle w:val="BodyText"/>
        <w:ind w:firstLine="360"/>
        <w:rPr>
          <w:rFonts w:cstheme="minorHAnsi"/>
        </w:rPr>
      </w:pPr>
      <w:r w:rsidRPr="00352F4C">
        <w:rPr>
          <w:rFonts w:cstheme="minorHAnsi"/>
        </w:rPr>
        <w:t xml:space="preserve">In sum, </w:t>
      </w:r>
      <w:r w:rsidR="00344B64">
        <w:rPr>
          <w:rFonts w:cstheme="minorHAnsi"/>
        </w:rPr>
        <w:t>many people who seek asylum in the United States</w:t>
      </w:r>
      <w:r w:rsidRPr="00352F4C">
        <w:rPr>
          <w:rFonts w:cstheme="minorHAnsi"/>
        </w:rPr>
        <w:t xml:space="preserve"> are subjected to </w:t>
      </w:r>
      <w:r w:rsidR="00515CA7" w:rsidRPr="00352F4C">
        <w:rPr>
          <w:rFonts w:cstheme="minorHAnsi"/>
        </w:rPr>
        <w:t>horrific persecution because</w:t>
      </w:r>
      <w:r w:rsidRPr="00352F4C">
        <w:rPr>
          <w:rFonts w:cstheme="minorHAnsi"/>
        </w:rPr>
        <w:t xml:space="preserve"> </w:t>
      </w:r>
      <w:r w:rsidR="000E7E4C">
        <w:rPr>
          <w:rFonts w:cstheme="minorHAnsi"/>
        </w:rPr>
        <w:t>of their sexual orientation, gender identity, and HIV status</w:t>
      </w:r>
      <w:r w:rsidRPr="00352F4C">
        <w:rPr>
          <w:rFonts w:cstheme="minorHAnsi"/>
        </w:rPr>
        <w:t xml:space="preserve">.  </w:t>
      </w:r>
      <w:r w:rsidR="00515CA7" w:rsidRPr="00352F4C">
        <w:rPr>
          <w:rFonts w:cstheme="minorHAnsi"/>
        </w:rPr>
        <w:t>Tragically,</w:t>
      </w:r>
      <w:r w:rsidR="000E7E4C">
        <w:rPr>
          <w:rFonts w:cstheme="minorHAnsi"/>
        </w:rPr>
        <w:t xml:space="preserve"> such refugees </w:t>
      </w:r>
      <w:r w:rsidR="00CB2E16" w:rsidRPr="00352F4C">
        <w:rPr>
          <w:rFonts w:cstheme="minorHAnsi"/>
        </w:rPr>
        <w:t xml:space="preserve">living in </w:t>
      </w:r>
      <w:r w:rsidR="000E7E4C">
        <w:rPr>
          <w:rFonts w:cstheme="minorHAnsi"/>
        </w:rPr>
        <w:t>LGBTQ/H phobic</w:t>
      </w:r>
      <w:r w:rsidRPr="00352F4C">
        <w:rPr>
          <w:rFonts w:cstheme="minorHAnsi"/>
        </w:rPr>
        <w:t xml:space="preserve"> </w:t>
      </w:r>
      <w:r w:rsidR="00CB2E16" w:rsidRPr="00352F4C">
        <w:rPr>
          <w:rFonts w:cstheme="minorHAnsi"/>
        </w:rPr>
        <w:t xml:space="preserve">countries </w:t>
      </w:r>
      <w:r w:rsidRPr="00352F4C">
        <w:rPr>
          <w:rFonts w:cstheme="minorHAnsi"/>
        </w:rPr>
        <w:t xml:space="preserve">sometimes </w:t>
      </w:r>
      <w:r w:rsidR="00066163" w:rsidRPr="00352F4C">
        <w:rPr>
          <w:rFonts w:cstheme="minorHAnsi"/>
        </w:rPr>
        <w:t>internalize feelings of shame and stigma</w:t>
      </w:r>
      <w:r w:rsidRPr="00352F4C">
        <w:rPr>
          <w:rFonts w:cstheme="minorHAnsi"/>
        </w:rPr>
        <w:t xml:space="preserve"> about </w:t>
      </w:r>
      <w:r w:rsidR="000E7E4C">
        <w:rPr>
          <w:rFonts w:cstheme="minorHAnsi"/>
        </w:rPr>
        <w:t>who they are</w:t>
      </w:r>
      <w:r w:rsidR="00E24F6A" w:rsidRPr="00352F4C">
        <w:rPr>
          <w:rFonts w:cstheme="minorHAnsi"/>
        </w:rPr>
        <w:t>,</w:t>
      </w:r>
      <w:r w:rsidR="00515CA7" w:rsidRPr="00352F4C">
        <w:rPr>
          <w:rFonts w:cstheme="minorHAnsi"/>
        </w:rPr>
        <w:t xml:space="preserve"> compounding their suffering</w:t>
      </w:r>
      <w:r w:rsidR="00066163" w:rsidRPr="00352F4C">
        <w:rPr>
          <w:rFonts w:cstheme="minorHAnsi"/>
        </w:rPr>
        <w:t xml:space="preserve">.  </w:t>
      </w:r>
      <w:r w:rsidR="00CB2E16" w:rsidRPr="00352F4C">
        <w:rPr>
          <w:rFonts w:cstheme="minorHAnsi"/>
        </w:rPr>
        <w:t xml:space="preserve">Thus, when they arrive in the United States, </w:t>
      </w:r>
      <w:r w:rsidRPr="00352F4C">
        <w:rPr>
          <w:rFonts w:cstheme="minorHAnsi"/>
        </w:rPr>
        <w:t>some are s</w:t>
      </w:r>
      <w:r w:rsidR="00CB2E16" w:rsidRPr="00352F4C">
        <w:rPr>
          <w:rFonts w:cstheme="minorHAnsi"/>
        </w:rPr>
        <w:t xml:space="preserve">till </w:t>
      </w:r>
      <w:r w:rsidR="00344B64">
        <w:rPr>
          <w:rFonts w:cstheme="minorHAnsi"/>
        </w:rPr>
        <w:t>learning to embrace</w:t>
      </w:r>
      <w:r w:rsidR="00CB2E16" w:rsidRPr="00352F4C">
        <w:rPr>
          <w:rFonts w:cstheme="minorHAnsi"/>
        </w:rPr>
        <w:t xml:space="preserve"> their identity</w:t>
      </w:r>
      <w:r w:rsidR="00443080" w:rsidRPr="00352F4C">
        <w:rPr>
          <w:rFonts w:cstheme="minorHAnsi"/>
        </w:rPr>
        <w:t xml:space="preserve"> and may not be able to express it to immigration officials</w:t>
      </w:r>
      <w:r w:rsidRPr="00352F4C">
        <w:rPr>
          <w:rFonts w:cstheme="minorHAnsi"/>
        </w:rPr>
        <w:t>.  Many also fear</w:t>
      </w:r>
      <w:r w:rsidR="00CB2E16" w:rsidRPr="00352F4C">
        <w:rPr>
          <w:rFonts w:cstheme="minorHAnsi"/>
        </w:rPr>
        <w:t xml:space="preserve"> trusti</w:t>
      </w:r>
      <w:r w:rsidR="00C54E62" w:rsidRPr="00352F4C">
        <w:rPr>
          <w:rFonts w:cstheme="minorHAnsi"/>
        </w:rPr>
        <w:t xml:space="preserve">ng </w:t>
      </w:r>
      <w:r w:rsidR="00CB2E16" w:rsidRPr="00352F4C">
        <w:rPr>
          <w:rFonts w:cstheme="minorHAnsi"/>
        </w:rPr>
        <w:t>authority figures with their deeply personal identities</w:t>
      </w:r>
      <w:r w:rsidRPr="00352F4C">
        <w:rPr>
          <w:rFonts w:cstheme="minorHAnsi"/>
        </w:rPr>
        <w:t>, especially if they experienced persecution at the hands of government actors in the past</w:t>
      </w:r>
      <w:r w:rsidR="00CB2E16" w:rsidRPr="00352F4C">
        <w:rPr>
          <w:rFonts w:cstheme="minorHAnsi"/>
        </w:rPr>
        <w:t xml:space="preserve">.  </w:t>
      </w:r>
    </w:p>
    <w:p w14:paraId="4A806C5C" w14:textId="5BE8202C" w:rsidR="00D84677" w:rsidRPr="00352F4C" w:rsidRDefault="00CB2E16" w:rsidP="008F386B">
      <w:pPr>
        <w:pStyle w:val="Heading1"/>
        <w:rPr>
          <w:rFonts w:cstheme="minorHAnsi"/>
        </w:rPr>
      </w:pPr>
      <w:r w:rsidRPr="00352F4C">
        <w:rPr>
          <w:rFonts w:cstheme="minorHAnsi"/>
        </w:rPr>
        <w:t>T</w:t>
      </w:r>
      <w:r w:rsidR="0007311B" w:rsidRPr="00352F4C">
        <w:rPr>
          <w:rFonts w:cstheme="minorHAnsi"/>
        </w:rPr>
        <w:t xml:space="preserve">he 30-Day Comment Period </w:t>
      </w:r>
      <w:r w:rsidR="00C54E62" w:rsidRPr="00352F4C">
        <w:rPr>
          <w:rFonts w:cstheme="minorHAnsi"/>
        </w:rPr>
        <w:t xml:space="preserve">Is Grossly Inadequate to Address the Proposed </w:t>
      </w:r>
      <w:r w:rsidR="008E62BA">
        <w:rPr>
          <w:rFonts w:cstheme="minorHAnsi"/>
        </w:rPr>
        <w:t xml:space="preserve">Radical </w:t>
      </w:r>
      <w:r w:rsidR="00C54E62" w:rsidRPr="00352F4C">
        <w:rPr>
          <w:rFonts w:cstheme="minorHAnsi"/>
        </w:rPr>
        <w:t>Changes to Asylum Law</w:t>
      </w:r>
      <w:r w:rsidR="00363D18">
        <w:rPr>
          <w:rFonts w:cstheme="minorHAnsi"/>
        </w:rPr>
        <w:t>.</w:t>
      </w:r>
      <w:r w:rsidR="00C54E62" w:rsidRPr="00352F4C">
        <w:rPr>
          <w:rFonts w:cstheme="minorHAnsi"/>
        </w:rPr>
        <w:t xml:space="preserve"> </w:t>
      </w:r>
      <w:r w:rsidRPr="00352F4C">
        <w:rPr>
          <w:rFonts w:cstheme="minorHAnsi"/>
        </w:rPr>
        <w:t xml:space="preserve"> </w:t>
      </w:r>
    </w:p>
    <w:p w14:paraId="3BC9E8A1" w14:textId="30D88A12" w:rsidR="0007311B" w:rsidRPr="00352F4C" w:rsidRDefault="0007311B" w:rsidP="0007311B">
      <w:pPr>
        <w:pStyle w:val="BodyText"/>
        <w:rPr>
          <w:rFonts w:cstheme="minorHAnsi"/>
        </w:rPr>
      </w:pPr>
      <w:r w:rsidRPr="00352F4C">
        <w:rPr>
          <w:rFonts w:cstheme="minorHAnsi"/>
        </w:rPr>
        <w:t xml:space="preserve">The current </w:t>
      </w:r>
      <w:r w:rsidR="00344B64">
        <w:rPr>
          <w:rFonts w:cstheme="minorHAnsi"/>
        </w:rPr>
        <w:t>immigration</w:t>
      </w:r>
      <w:r w:rsidRPr="00352F4C">
        <w:rPr>
          <w:rFonts w:cstheme="minorHAnsi"/>
        </w:rPr>
        <w:t xml:space="preserve"> system </w:t>
      </w:r>
      <w:r w:rsidR="00344B64">
        <w:rPr>
          <w:rFonts w:cstheme="minorHAnsi"/>
        </w:rPr>
        <w:t xml:space="preserve">often </w:t>
      </w:r>
      <w:r w:rsidRPr="00352F4C">
        <w:rPr>
          <w:rFonts w:cstheme="minorHAnsi"/>
        </w:rPr>
        <w:t xml:space="preserve">fails refugees, resulting </w:t>
      </w:r>
      <w:r w:rsidR="00D44409">
        <w:rPr>
          <w:rFonts w:cstheme="minorHAnsi"/>
        </w:rPr>
        <w:t xml:space="preserve">in </w:t>
      </w:r>
      <w:r w:rsidRPr="00352F4C">
        <w:rPr>
          <w:rFonts w:cstheme="minorHAnsi"/>
        </w:rPr>
        <w:t>the return of countless LGBTQ/H asylum seekers to countries where they are abused, tortured</w:t>
      </w:r>
      <w:r w:rsidR="00684A5C" w:rsidRPr="00352F4C">
        <w:rPr>
          <w:rFonts w:cstheme="minorHAnsi"/>
        </w:rPr>
        <w:t>,</w:t>
      </w:r>
      <w:r w:rsidRPr="00352F4C">
        <w:rPr>
          <w:rFonts w:cstheme="minorHAnsi"/>
        </w:rPr>
        <w:t xml:space="preserve"> and killed.</w:t>
      </w:r>
      <w:r w:rsidRPr="00352F4C">
        <w:rPr>
          <w:rStyle w:val="FootnoteReference"/>
          <w:rFonts w:cstheme="minorHAnsi"/>
        </w:rPr>
        <w:footnoteReference w:id="24"/>
      </w:r>
      <w:r w:rsidRPr="00352F4C">
        <w:rPr>
          <w:rFonts w:cstheme="minorHAnsi"/>
        </w:rPr>
        <w:t xml:space="preserve">  Asylum seekers are routinely denied the most basic due process protections and many have no meaningful access to counsel to navigate the daunting labyrinth of U.S. immigration law – often in a language that they do not speak.  Yet, instead of fixing this broken system, the Proposed Rule makes it </w:t>
      </w:r>
      <w:r w:rsidR="00684A5C" w:rsidRPr="00352F4C">
        <w:rPr>
          <w:rFonts w:cstheme="minorHAnsi"/>
        </w:rPr>
        <w:t xml:space="preserve">much </w:t>
      </w:r>
      <w:r w:rsidRPr="00352F4C">
        <w:rPr>
          <w:rFonts w:cstheme="minorHAnsi"/>
        </w:rPr>
        <w:t xml:space="preserve">worse.  Across 160 pages, it radically rewrites asylum law without authorization from Congress.  Moreover, the Proposed Rule runs contrary to the U.S.’s non-refoulement obligations under domestic and international law to refrain from returning refugees to places where their lives or freedom would be threatened on account of their protected status.  </w:t>
      </w:r>
    </w:p>
    <w:p w14:paraId="337D4DB0" w14:textId="77777777" w:rsidR="00E9310F" w:rsidRDefault="00D44409" w:rsidP="00E9310F">
      <w:pPr>
        <w:rPr>
          <w:sz w:val="22"/>
          <w:szCs w:val="22"/>
        </w:rPr>
      </w:pPr>
      <w:r>
        <w:rPr>
          <w:rFonts w:cstheme="minorHAnsi"/>
        </w:rPr>
        <w:t>Exacerbating</w:t>
      </w:r>
      <w:r w:rsidR="0007311B" w:rsidRPr="00352F4C">
        <w:rPr>
          <w:rFonts w:cstheme="minorHAnsi"/>
        </w:rPr>
        <w:t xml:space="preserve"> this, the Agencies have provided a </w:t>
      </w:r>
      <w:r w:rsidR="00443080" w:rsidRPr="00352F4C">
        <w:rPr>
          <w:rFonts w:cstheme="minorHAnsi"/>
        </w:rPr>
        <w:t>wholly insufficient</w:t>
      </w:r>
      <w:r w:rsidR="0007311B" w:rsidRPr="00352F4C">
        <w:rPr>
          <w:rFonts w:cstheme="minorHAnsi"/>
        </w:rPr>
        <w:t xml:space="preserve"> 30-day timeframe to respond to what amounts to a complete overhaul of the U.S. asylum system.  Given the scope of the Proposed Rule, published in the midst of an international pandemic no less, this truncated comment period fails to serve its intended purpose under the Administrative Procedures Act, namely: “(1) to ensure that agency regulations are tested via exposure to diverse public comment, (2) to ensure fairness to affected parties, and (3) to give affected parties an opportunity to develop evidence in the record to support their objections to the rule and thereby enhance the quality of judicial review.” </w:t>
      </w:r>
      <w:r w:rsidR="00E9310F">
        <w:rPr>
          <w:i/>
          <w:iCs/>
        </w:rPr>
        <w:t>Capital Area Immigrants’ Rights Coalition (CAIR) v. Trump</w:t>
      </w:r>
      <w:r w:rsidR="00E9310F">
        <w:t>, No. 19-cv-2117, ECF No. 72, 24-25 (D.D.C. June 30, 2020) (internal citations omitted).</w:t>
      </w:r>
    </w:p>
    <w:p w14:paraId="4BEE2ED8" w14:textId="16AF5503" w:rsidR="0007311B" w:rsidRPr="00352F4C" w:rsidRDefault="0007311B" w:rsidP="0007311B">
      <w:pPr>
        <w:pStyle w:val="BodyText"/>
        <w:rPr>
          <w:rFonts w:cstheme="minorHAnsi"/>
        </w:rPr>
      </w:pPr>
      <w:r w:rsidRPr="00352F4C">
        <w:rPr>
          <w:rFonts w:cstheme="minorHAnsi"/>
        </w:rPr>
        <w:lastRenderedPageBreak/>
        <w:t>Rewriting decades of legal precedent and upending the entire U.S. asylum system</w:t>
      </w:r>
      <w:r w:rsidR="00443080" w:rsidRPr="00352F4C">
        <w:rPr>
          <w:rFonts w:cstheme="minorHAnsi"/>
        </w:rPr>
        <w:t xml:space="preserve"> – </w:t>
      </w:r>
      <w:r w:rsidRPr="00352F4C">
        <w:rPr>
          <w:rFonts w:cstheme="minorHAnsi"/>
        </w:rPr>
        <w:t xml:space="preserve">where the consequences are literally life and death for refugees the U.S. is obligated to protect </w:t>
      </w:r>
      <w:r w:rsidR="00443080" w:rsidRPr="00352F4C">
        <w:rPr>
          <w:rFonts w:cstheme="minorHAnsi"/>
        </w:rPr>
        <w:t xml:space="preserve">– </w:t>
      </w:r>
      <w:r w:rsidRPr="00352F4C">
        <w:rPr>
          <w:rFonts w:cstheme="minorHAnsi"/>
        </w:rPr>
        <w:t xml:space="preserve">is patently unfair and </w:t>
      </w:r>
      <w:r w:rsidR="00344B64">
        <w:rPr>
          <w:rFonts w:cstheme="minorHAnsi"/>
        </w:rPr>
        <w:t xml:space="preserve">at the very least </w:t>
      </w:r>
      <w:r w:rsidRPr="00352F4C">
        <w:rPr>
          <w:rFonts w:cstheme="minorHAnsi"/>
        </w:rPr>
        <w:t xml:space="preserve">will result in an incomplete record. </w:t>
      </w:r>
    </w:p>
    <w:p w14:paraId="0A26A7E8" w14:textId="720C2771" w:rsidR="00443080" w:rsidRPr="00352F4C" w:rsidRDefault="0007311B" w:rsidP="00443080">
      <w:pPr>
        <w:pStyle w:val="BodyText"/>
        <w:rPr>
          <w:rFonts w:cstheme="minorHAnsi"/>
        </w:rPr>
      </w:pPr>
      <w:r w:rsidRPr="00352F4C">
        <w:rPr>
          <w:rFonts w:cstheme="minorHAnsi"/>
        </w:rPr>
        <w:t xml:space="preserve">For this reason alone, the government should rescind the Proposed Rule.  Should the Agencies reissue the proposed regulations, they should grant the public at least 60 days to provide comprehensive comments. </w:t>
      </w:r>
      <w:r w:rsidR="00443080" w:rsidRPr="00352F4C">
        <w:rPr>
          <w:rFonts w:cstheme="minorHAnsi"/>
        </w:rPr>
        <w:t xml:space="preserve">Because of the </w:t>
      </w:r>
      <w:r w:rsidR="00443080" w:rsidRPr="00C0117F">
        <w:rPr>
          <w:rFonts w:cstheme="minorHAnsi"/>
        </w:rPr>
        <w:t>prejudicial 30-day public comment period, the below comments cannot address every problematic provision.  But silence is not consent: the fact that we do not discuss a particular change does not mean we agree with it.</w:t>
      </w:r>
      <w:r w:rsidR="00443080" w:rsidRPr="00352F4C">
        <w:rPr>
          <w:rFonts w:cstheme="minorHAnsi"/>
        </w:rPr>
        <w:t xml:space="preserve">  </w:t>
      </w:r>
    </w:p>
    <w:p w14:paraId="13AD8557" w14:textId="31F8C1FF" w:rsidR="00D72F01" w:rsidRPr="00352F4C" w:rsidRDefault="00313037" w:rsidP="0032407D">
      <w:pPr>
        <w:pStyle w:val="Heading2"/>
        <w:rPr>
          <w:rFonts w:cstheme="minorHAnsi"/>
        </w:rPr>
      </w:pPr>
      <w:r w:rsidRPr="00352F4C">
        <w:rPr>
          <w:rFonts w:cstheme="minorHAnsi"/>
        </w:rPr>
        <w:t>The Proposed Rul</w:t>
      </w:r>
      <w:r w:rsidR="00390CB5" w:rsidRPr="00352F4C">
        <w:rPr>
          <w:rFonts w:cstheme="minorHAnsi"/>
        </w:rPr>
        <w:t>e’s particular social group provisions impose</w:t>
      </w:r>
      <w:r w:rsidRPr="00352F4C">
        <w:rPr>
          <w:rFonts w:cstheme="minorHAnsi"/>
        </w:rPr>
        <w:t xml:space="preserve"> a</w:t>
      </w:r>
      <w:r w:rsidR="00344B64">
        <w:rPr>
          <w:rFonts w:cstheme="minorHAnsi"/>
        </w:rPr>
        <w:t>n unrealistic disclosure</w:t>
      </w:r>
      <w:r w:rsidRPr="00352F4C">
        <w:rPr>
          <w:rFonts w:cstheme="minorHAnsi"/>
        </w:rPr>
        <w:t xml:space="preserve"> </w:t>
      </w:r>
      <w:r w:rsidR="006C6564" w:rsidRPr="00352F4C">
        <w:rPr>
          <w:rFonts w:cstheme="minorHAnsi"/>
        </w:rPr>
        <w:t xml:space="preserve">requirement </w:t>
      </w:r>
      <w:r w:rsidRPr="00352F4C">
        <w:rPr>
          <w:rFonts w:cstheme="minorHAnsi"/>
        </w:rPr>
        <w:t xml:space="preserve">on LGBTQ </w:t>
      </w:r>
      <w:r w:rsidR="006C6564" w:rsidRPr="00352F4C">
        <w:rPr>
          <w:rFonts w:cstheme="minorHAnsi"/>
        </w:rPr>
        <w:t>applicants.</w:t>
      </w:r>
    </w:p>
    <w:p w14:paraId="02E1191A" w14:textId="1E673FAB" w:rsidR="0007311B" w:rsidRPr="00352F4C" w:rsidRDefault="0007311B" w:rsidP="00E9310F">
      <w:pPr>
        <w:rPr>
          <w:rFonts w:cstheme="minorHAnsi"/>
        </w:rPr>
      </w:pPr>
      <w:bookmarkStart w:id="1" w:name="_Hlk44921482"/>
      <w:r w:rsidRPr="00352F4C">
        <w:rPr>
          <w:rFonts w:cstheme="minorHAnsi"/>
        </w:rPr>
        <w:t>Applicants for asylum and withholding of removal are legally required to demonstrate that the persecution they fear is on account of one of five protected characteristics: race, religion, nationality, membership in a particular social group</w:t>
      </w:r>
      <w:r w:rsidR="00FF7C64" w:rsidRPr="00352F4C">
        <w:rPr>
          <w:rFonts w:cstheme="minorHAnsi"/>
        </w:rPr>
        <w:t xml:space="preserve"> (</w:t>
      </w:r>
      <w:r w:rsidR="00684A5C" w:rsidRPr="00352F4C">
        <w:rPr>
          <w:rFonts w:cstheme="minorHAnsi"/>
        </w:rPr>
        <w:t>“</w:t>
      </w:r>
      <w:r w:rsidR="00FF7C64" w:rsidRPr="00352F4C">
        <w:rPr>
          <w:rFonts w:cstheme="minorHAnsi"/>
        </w:rPr>
        <w:t>PSG”)</w:t>
      </w:r>
      <w:r w:rsidRPr="00352F4C">
        <w:rPr>
          <w:rFonts w:cstheme="minorHAnsi"/>
        </w:rPr>
        <w:t>, or political opinion.  8 U.S.C. § 1101(a)(42)(A).  The purpose of</w:t>
      </w:r>
      <w:r w:rsidR="00FF7C64" w:rsidRPr="00352F4C">
        <w:rPr>
          <w:rFonts w:cstheme="minorHAnsi"/>
        </w:rPr>
        <w:t xml:space="preserve"> the PSG </w:t>
      </w:r>
      <w:r w:rsidRPr="00352F4C">
        <w:rPr>
          <w:rFonts w:cstheme="minorHAnsi"/>
        </w:rPr>
        <w:t xml:space="preserve">category is to allow the refugee definition to encompass new and evolving groups subject to refugee protection. </w:t>
      </w:r>
      <w:r w:rsidR="006D5A04" w:rsidRPr="00352F4C">
        <w:rPr>
          <w:rFonts w:cstheme="minorHAnsi"/>
        </w:rPr>
        <w:t xml:space="preserve"> </w:t>
      </w:r>
      <w:r w:rsidRPr="00352F4C">
        <w:rPr>
          <w:rFonts w:cstheme="minorHAnsi"/>
        </w:rPr>
        <w:t xml:space="preserve">For this reason, courts </w:t>
      </w:r>
      <w:r w:rsidR="006D5A04" w:rsidRPr="00352F4C">
        <w:rPr>
          <w:rFonts w:cstheme="minorHAnsi"/>
        </w:rPr>
        <w:t xml:space="preserve">and the United States Citizenship and Immigration Services </w:t>
      </w:r>
      <w:r w:rsidRPr="00352F4C">
        <w:rPr>
          <w:rFonts w:cstheme="minorHAnsi"/>
        </w:rPr>
        <w:t xml:space="preserve">have held that independent bases on which to establish membership in a </w:t>
      </w:r>
      <w:r w:rsidR="00FF7C64" w:rsidRPr="00352F4C">
        <w:rPr>
          <w:rFonts w:cstheme="minorHAnsi"/>
        </w:rPr>
        <w:t>PSG</w:t>
      </w:r>
      <w:r w:rsidRPr="00352F4C">
        <w:rPr>
          <w:rFonts w:cstheme="minorHAnsi"/>
        </w:rPr>
        <w:t xml:space="preserve"> include sexual orientation, gender identity, and HIV status.  </w:t>
      </w:r>
      <w:r w:rsidRPr="00352F4C">
        <w:rPr>
          <w:rFonts w:cstheme="minorHAnsi"/>
          <w:i/>
        </w:rPr>
        <w:t xml:space="preserve">See, e.g., </w:t>
      </w:r>
      <w:proofErr w:type="spellStart"/>
      <w:r w:rsidR="000B3507">
        <w:rPr>
          <w:i/>
          <w:iCs/>
        </w:rPr>
        <w:t>Avendano</w:t>
      </w:r>
      <w:proofErr w:type="spellEnd"/>
      <w:r w:rsidR="000B3507">
        <w:rPr>
          <w:i/>
          <w:iCs/>
        </w:rPr>
        <w:t>–Hernandez v. Lynch</w:t>
      </w:r>
      <w:r w:rsidR="000B3507">
        <w:t xml:space="preserve">, 800 F.3d 1072, 1082 (9th Cir. 2015) (recognizing that transgender individuals are members of a particular social group); </w:t>
      </w:r>
      <w:proofErr w:type="spellStart"/>
      <w:r w:rsidR="000B3507">
        <w:rPr>
          <w:i/>
          <w:iCs/>
        </w:rPr>
        <w:t>Nabulwala</w:t>
      </w:r>
      <w:proofErr w:type="spellEnd"/>
      <w:r w:rsidR="000B3507">
        <w:rPr>
          <w:i/>
          <w:iCs/>
        </w:rPr>
        <w:t xml:space="preserve"> v. Gonzales</w:t>
      </w:r>
      <w:r w:rsidR="000B3507">
        <w:t xml:space="preserve">, 481 F.3d 1115, 1118 (8th Cir. 2007) (same for lesbians); </w:t>
      </w:r>
      <w:proofErr w:type="spellStart"/>
      <w:r w:rsidR="000B3507">
        <w:rPr>
          <w:i/>
          <w:iCs/>
        </w:rPr>
        <w:t>Karouni</w:t>
      </w:r>
      <w:proofErr w:type="spellEnd"/>
      <w:r w:rsidR="000B3507">
        <w:rPr>
          <w:i/>
          <w:iCs/>
        </w:rPr>
        <w:t xml:space="preserve"> v. Gonzales</w:t>
      </w:r>
      <w:r w:rsidR="000B3507">
        <w:t>, 399 F.3d 1163, 1172 (9th Cir. 2005) (same for “</w:t>
      </w:r>
      <w:r w:rsidR="000B3507">
        <w:rPr>
          <w:i/>
          <w:iCs/>
        </w:rPr>
        <w:t>all</w:t>
      </w:r>
      <w:r w:rsidR="000B3507">
        <w:t xml:space="preserve"> alien homosexuals”); </w:t>
      </w:r>
      <w:proofErr w:type="spellStart"/>
      <w:r w:rsidR="000B3507">
        <w:rPr>
          <w:i/>
          <w:iCs/>
        </w:rPr>
        <w:t>Amanfi</w:t>
      </w:r>
      <w:proofErr w:type="spellEnd"/>
      <w:r w:rsidR="000B3507">
        <w:rPr>
          <w:i/>
          <w:iCs/>
        </w:rPr>
        <w:t xml:space="preserve"> v. Ashcroft</w:t>
      </w:r>
      <w:r w:rsidR="000B3507">
        <w:t xml:space="preserve">, 328 F.3d 719, 721 (3d Cir. 2003) (same for men imputed to be gay); </w:t>
      </w:r>
      <w:r w:rsidR="000B3507">
        <w:rPr>
          <w:i/>
          <w:iCs/>
        </w:rPr>
        <w:t xml:space="preserve">Matter of </w:t>
      </w:r>
      <w:proofErr w:type="spellStart"/>
      <w:r w:rsidR="000B3507">
        <w:rPr>
          <w:i/>
          <w:iCs/>
        </w:rPr>
        <w:t>Toboso</w:t>
      </w:r>
      <w:proofErr w:type="spellEnd"/>
      <w:r w:rsidR="000B3507">
        <w:rPr>
          <w:i/>
          <w:iCs/>
        </w:rPr>
        <w:t>–Alfonso</w:t>
      </w:r>
      <w:r w:rsidR="000B3507">
        <w:t>, 20 I&amp;N Dec. 819, 822 (BIA 1990) (same for gay men)</w:t>
      </w:r>
      <w:r w:rsidR="00E9310F">
        <w:t xml:space="preserve">; USCIS, </w:t>
      </w:r>
      <w:r w:rsidR="00E9310F">
        <w:rPr>
          <w:i/>
          <w:iCs/>
        </w:rPr>
        <w:t>Guidance for Adjudicating Lesbian, Gay, Bisexual, Transgender, and Intersex (LGBTI) Refugee and Asylum Claims Training Module</w:t>
      </w:r>
      <w:r w:rsidR="00E9310F">
        <w:rPr>
          <w:rFonts w:ascii="Times New Roman" w:hAnsi="Times New Roman"/>
          <w:color w:val="212529"/>
          <w:shd w:val="clear" w:color="auto" w:fill="FFFFFF"/>
        </w:rPr>
        <w:t>, at 15-17 (noting that HIV may also be a PSG).</w:t>
      </w:r>
      <w:r w:rsidR="00E9310F">
        <w:rPr>
          <w:rStyle w:val="FootnoteReference"/>
          <w:rFonts w:ascii="Times New Roman" w:hAnsi="Times New Roman"/>
          <w:color w:val="212529"/>
          <w:shd w:val="clear" w:color="auto" w:fill="FFFFFF"/>
        </w:rPr>
        <w:footnoteReference w:id="25"/>
      </w:r>
      <w:r w:rsidRPr="00352F4C">
        <w:rPr>
          <w:rFonts w:cstheme="minorHAnsi"/>
        </w:rPr>
        <w:t xml:space="preserve">   </w:t>
      </w:r>
    </w:p>
    <w:bookmarkEnd w:id="1"/>
    <w:p w14:paraId="108C9A4B" w14:textId="6F2F9C42" w:rsidR="0007311B" w:rsidRPr="00352F4C" w:rsidRDefault="0007311B" w:rsidP="0007311B">
      <w:pPr>
        <w:pStyle w:val="BodyText"/>
        <w:rPr>
          <w:rFonts w:cstheme="minorHAnsi"/>
        </w:rPr>
      </w:pPr>
      <w:r w:rsidRPr="00352F4C">
        <w:rPr>
          <w:rFonts w:cstheme="minorHAnsi"/>
        </w:rPr>
        <w:t xml:space="preserve">The Proposed Rule seeks to codify nine exceptions </w:t>
      </w:r>
      <w:r w:rsidR="006D5A04" w:rsidRPr="00352F4C">
        <w:rPr>
          <w:rFonts w:cstheme="minorHAnsi"/>
        </w:rPr>
        <w:t xml:space="preserve">to the PSG analysis </w:t>
      </w:r>
      <w:r w:rsidRPr="00352F4C">
        <w:rPr>
          <w:rFonts w:cstheme="minorHAnsi"/>
        </w:rPr>
        <w:t xml:space="preserve">that have no relationship to whether a </w:t>
      </w:r>
      <w:r w:rsidR="00FF7C64" w:rsidRPr="00352F4C">
        <w:rPr>
          <w:rFonts w:cstheme="minorHAnsi"/>
        </w:rPr>
        <w:t>PSG</w:t>
      </w:r>
      <w:r w:rsidRPr="00352F4C">
        <w:rPr>
          <w:rFonts w:cstheme="minorHAnsi"/>
        </w:rPr>
        <w:t xml:space="preserve"> is cognizable. Proposed Rule §§ 208.1(c), 1208.1(c); Notice at 53–55.  These exceptions eviscerate the case-by-case development of the </w:t>
      </w:r>
      <w:r w:rsidR="00FF7C64" w:rsidRPr="00352F4C">
        <w:rPr>
          <w:rFonts w:cstheme="minorHAnsi"/>
        </w:rPr>
        <w:t>PSG</w:t>
      </w:r>
      <w:r w:rsidRPr="00352F4C">
        <w:rPr>
          <w:rFonts w:cstheme="minorHAnsi"/>
        </w:rPr>
        <w:t xml:space="preserve"> category, instead </w:t>
      </w:r>
      <w:r w:rsidR="00610B42">
        <w:rPr>
          <w:rFonts w:cstheme="minorHAnsi"/>
        </w:rPr>
        <w:t>instructing</w:t>
      </w:r>
      <w:r w:rsidRPr="00352F4C">
        <w:rPr>
          <w:rFonts w:cstheme="minorHAnsi"/>
        </w:rPr>
        <w:t xml:space="preserve"> adjudicators to categorically </w:t>
      </w:r>
      <w:r w:rsidR="00C0117F">
        <w:rPr>
          <w:rFonts w:cstheme="minorHAnsi"/>
        </w:rPr>
        <w:t xml:space="preserve">deny claims </w:t>
      </w:r>
      <w:r w:rsidRPr="00352F4C">
        <w:rPr>
          <w:rFonts w:cstheme="minorHAnsi"/>
        </w:rPr>
        <w:t xml:space="preserve">without engaging in the required analysis.  </w:t>
      </w:r>
    </w:p>
    <w:p w14:paraId="7D07EA4A" w14:textId="77777777" w:rsidR="0007311B" w:rsidRPr="00352F4C" w:rsidRDefault="0007311B" w:rsidP="0007311B">
      <w:pPr>
        <w:pStyle w:val="BodyText"/>
        <w:rPr>
          <w:rFonts w:cstheme="minorHAnsi"/>
        </w:rPr>
      </w:pPr>
      <w:r w:rsidRPr="00352F4C">
        <w:rPr>
          <w:rFonts w:cstheme="minorHAnsi"/>
        </w:rPr>
        <w:t>In addition, the Proposed Rule further requires that:</w:t>
      </w:r>
    </w:p>
    <w:p w14:paraId="33B40ED2" w14:textId="77777777" w:rsidR="0007311B" w:rsidRPr="00352F4C" w:rsidRDefault="0007311B" w:rsidP="0007311B">
      <w:pPr>
        <w:pStyle w:val="BlockText"/>
        <w:rPr>
          <w:rFonts w:cstheme="minorHAnsi"/>
        </w:rPr>
      </w:pPr>
      <w:r w:rsidRPr="00352F4C">
        <w:rPr>
          <w:rFonts w:cstheme="minorHAnsi"/>
        </w:rPr>
        <w:t>A failure to define, or provide a basis for defining, a formulation of a particular social group before an immigration judge shall waive any such claim for all purposes under the Act, including on appeal, and any waived claim on this basis shall not serve as the basis for any motion to reopen or reconsider for any reason, including a claim of ineffective assistance of counsel.</w:t>
      </w:r>
    </w:p>
    <w:p w14:paraId="1DA96489" w14:textId="15717C49" w:rsidR="0007311B" w:rsidRPr="00352F4C" w:rsidRDefault="0007311B" w:rsidP="00DA0656">
      <w:pPr>
        <w:pStyle w:val="BodyText"/>
        <w:ind w:firstLine="0"/>
        <w:rPr>
          <w:rFonts w:cstheme="minorHAnsi"/>
        </w:rPr>
      </w:pPr>
      <w:r w:rsidRPr="00352F4C">
        <w:rPr>
          <w:rFonts w:cstheme="minorHAnsi"/>
        </w:rPr>
        <w:t xml:space="preserve">Proposed Rule §§ 208.1(c), 1208.1(c); Notice at 55–56.  This unprecedented bar would require applicants to immediately and clearly </w:t>
      </w:r>
      <w:r w:rsidR="00443080" w:rsidRPr="00352F4C">
        <w:rPr>
          <w:rFonts w:cstheme="minorHAnsi"/>
        </w:rPr>
        <w:t xml:space="preserve">articulate </w:t>
      </w:r>
      <w:r w:rsidR="00FF7C64" w:rsidRPr="00352F4C">
        <w:rPr>
          <w:rFonts w:cstheme="minorHAnsi"/>
        </w:rPr>
        <w:t xml:space="preserve">every </w:t>
      </w:r>
      <w:r w:rsidR="00443080" w:rsidRPr="00352F4C">
        <w:rPr>
          <w:rFonts w:cstheme="minorHAnsi"/>
        </w:rPr>
        <w:t xml:space="preserve">cognizable </w:t>
      </w:r>
      <w:r w:rsidR="00FF7C64" w:rsidRPr="00352F4C">
        <w:rPr>
          <w:rFonts w:cstheme="minorHAnsi"/>
        </w:rPr>
        <w:t xml:space="preserve">PSG before the Immigration </w:t>
      </w:r>
      <w:r w:rsidR="00FF7C64" w:rsidRPr="00352F4C">
        <w:rPr>
          <w:rFonts w:cstheme="minorHAnsi"/>
        </w:rPr>
        <w:lastRenderedPageBreak/>
        <w:t>Judge or forever lose the opportunity to present it, even on a</w:t>
      </w:r>
      <w:r w:rsidRPr="00352F4C">
        <w:rPr>
          <w:rFonts w:cstheme="minorHAnsi"/>
        </w:rPr>
        <w:t xml:space="preserve"> motion to reopen where </w:t>
      </w:r>
      <w:r w:rsidR="00610B42">
        <w:rPr>
          <w:rFonts w:cstheme="minorHAnsi"/>
        </w:rPr>
        <w:t xml:space="preserve">an applicant relied on terrible advice from </w:t>
      </w:r>
      <w:r w:rsidRPr="00352F4C">
        <w:rPr>
          <w:rFonts w:cstheme="minorHAnsi"/>
        </w:rPr>
        <w:t xml:space="preserve">ineffective counsel.  </w:t>
      </w:r>
    </w:p>
    <w:p w14:paraId="068291DF" w14:textId="0BFB027F" w:rsidR="0007311B" w:rsidRPr="00352F4C" w:rsidRDefault="0007311B" w:rsidP="0007311B">
      <w:pPr>
        <w:pStyle w:val="BodyText"/>
        <w:rPr>
          <w:rFonts w:cstheme="minorHAnsi"/>
        </w:rPr>
      </w:pPr>
      <w:r w:rsidRPr="00352F4C">
        <w:rPr>
          <w:rFonts w:cstheme="minorHAnsi"/>
        </w:rPr>
        <w:t xml:space="preserve">While this requirement would </w:t>
      </w:r>
      <w:r w:rsidR="00C0117F">
        <w:rPr>
          <w:rFonts w:cstheme="minorHAnsi"/>
        </w:rPr>
        <w:t>raise serious due process concerns for all</w:t>
      </w:r>
      <w:r w:rsidRPr="00352F4C">
        <w:rPr>
          <w:rFonts w:cstheme="minorHAnsi"/>
        </w:rPr>
        <w:t xml:space="preserve"> asylum applicant</w:t>
      </w:r>
      <w:r w:rsidR="00C0117F">
        <w:rPr>
          <w:rFonts w:cstheme="minorHAnsi"/>
        </w:rPr>
        <w:t>s</w:t>
      </w:r>
      <w:r w:rsidRPr="00352F4C">
        <w:rPr>
          <w:rFonts w:cstheme="minorHAnsi"/>
        </w:rPr>
        <w:t xml:space="preserve">, it poses particular barriers to LGBTQ asylum seekers.  For those applicants, the Proposed Rule essentially </w:t>
      </w:r>
      <w:r w:rsidR="00610B42">
        <w:rPr>
          <w:rFonts w:cstheme="minorHAnsi"/>
        </w:rPr>
        <w:t>gives applicant’s a single, momentary opportunity to declare themselves.</w:t>
      </w:r>
      <w:r w:rsidR="00FF7C64" w:rsidRPr="00352F4C">
        <w:rPr>
          <w:rFonts w:cstheme="minorHAnsi"/>
          <w:b/>
        </w:rPr>
        <w:t xml:space="preserve">  </w:t>
      </w:r>
      <w:r w:rsidR="00FF7C64" w:rsidRPr="00352F4C">
        <w:rPr>
          <w:rFonts w:cstheme="minorHAnsi"/>
        </w:rPr>
        <w:t>This provision is fundamentally at odds with how LGBTQ identity works</w:t>
      </w:r>
      <w:r w:rsidR="00610B42">
        <w:rPr>
          <w:rFonts w:cstheme="minorHAnsi"/>
        </w:rPr>
        <w:t xml:space="preserve"> for a remarkably large number of asylum seekers</w:t>
      </w:r>
      <w:r w:rsidR="00FF7C64" w:rsidRPr="00352F4C">
        <w:rPr>
          <w:rFonts w:cstheme="minorHAnsi"/>
        </w:rPr>
        <w:t xml:space="preserve">. </w:t>
      </w:r>
    </w:p>
    <w:p w14:paraId="03381D91" w14:textId="53A56993" w:rsidR="00056778" w:rsidRPr="00352F4C" w:rsidRDefault="00CB2E16" w:rsidP="0010653C">
      <w:pPr>
        <w:pStyle w:val="BodyText"/>
        <w:rPr>
          <w:rFonts w:cstheme="minorHAnsi"/>
        </w:rPr>
      </w:pPr>
      <w:r w:rsidRPr="00352F4C">
        <w:rPr>
          <w:rFonts w:cstheme="minorHAnsi"/>
          <w:b/>
          <w:u w:val="single"/>
        </w:rPr>
        <w:t>Coming to terms with LGBTQ identity is a process</w:t>
      </w:r>
      <w:r w:rsidR="001E7365" w:rsidRPr="00352F4C">
        <w:rPr>
          <w:rFonts w:cstheme="minorHAnsi"/>
        </w:rPr>
        <w:t xml:space="preserve">: </w:t>
      </w:r>
      <w:r w:rsidR="00AD3FB5" w:rsidRPr="00352F4C">
        <w:rPr>
          <w:rFonts w:cstheme="minorHAnsi"/>
        </w:rPr>
        <w:t>First, m</w:t>
      </w:r>
      <w:r w:rsidR="000A0035" w:rsidRPr="00352F4C">
        <w:rPr>
          <w:rFonts w:cstheme="minorHAnsi"/>
        </w:rPr>
        <w:t>any</w:t>
      </w:r>
      <w:r w:rsidR="00056778" w:rsidRPr="00352F4C">
        <w:rPr>
          <w:rFonts w:cstheme="minorHAnsi"/>
        </w:rPr>
        <w:t xml:space="preserve"> </w:t>
      </w:r>
      <w:r w:rsidR="000A0035" w:rsidRPr="00352F4C">
        <w:rPr>
          <w:rFonts w:cstheme="minorHAnsi"/>
        </w:rPr>
        <w:t xml:space="preserve">refugees come from repressive countries with governments and non-governmental institutions </w:t>
      </w:r>
      <w:r w:rsidR="00056778" w:rsidRPr="00352F4C">
        <w:rPr>
          <w:rFonts w:cstheme="minorHAnsi"/>
        </w:rPr>
        <w:t xml:space="preserve">that </w:t>
      </w:r>
      <w:r w:rsidR="0027541A">
        <w:rPr>
          <w:rFonts w:cstheme="minorHAnsi"/>
        </w:rPr>
        <w:t>ostracize and harm</w:t>
      </w:r>
      <w:r w:rsidR="000A0035" w:rsidRPr="00352F4C">
        <w:rPr>
          <w:rFonts w:cstheme="minorHAnsi"/>
        </w:rPr>
        <w:t xml:space="preserve"> </w:t>
      </w:r>
      <w:r w:rsidR="00056778" w:rsidRPr="00352F4C">
        <w:rPr>
          <w:rFonts w:cstheme="minorHAnsi"/>
        </w:rPr>
        <w:t>LGBTQ people</w:t>
      </w:r>
      <w:r w:rsidR="000734B7" w:rsidRPr="00352F4C">
        <w:rPr>
          <w:rFonts w:cstheme="minorHAnsi"/>
        </w:rPr>
        <w:t xml:space="preserve">.  In these countries, even talking about LGBTQ </w:t>
      </w:r>
      <w:r w:rsidR="00610B42">
        <w:rPr>
          <w:rFonts w:cstheme="minorHAnsi"/>
        </w:rPr>
        <w:t>lives</w:t>
      </w:r>
      <w:r w:rsidR="00056778" w:rsidRPr="00352F4C">
        <w:rPr>
          <w:rFonts w:cstheme="minorHAnsi"/>
        </w:rPr>
        <w:t xml:space="preserve"> can be life threatening</w:t>
      </w:r>
      <w:r w:rsidR="0027541A">
        <w:rPr>
          <w:rFonts w:cstheme="minorHAnsi"/>
        </w:rPr>
        <w:t>.  Because of this, LGBTQ people may initially</w:t>
      </w:r>
      <w:r w:rsidR="00056778" w:rsidRPr="00352F4C">
        <w:rPr>
          <w:rFonts w:cstheme="minorHAnsi"/>
        </w:rPr>
        <w:t xml:space="preserve"> deny their own identity, and internalize anti-LGBTQ phobia. </w:t>
      </w:r>
      <w:r w:rsidR="00453AEB" w:rsidRPr="00352F4C">
        <w:rPr>
          <w:rFonts w:cstheme="minorHAnsi"/>
        </w:rPr>
        <w:t>Often, it can take years to break through the shame and self-loathing that severe stigma cause</w:t>
      </w:r>
      <w:r w:rsidR="006347D8">
        <w:rPr>
          <w:rFonts w:cstheme="minorHAnsi"/>
        </w:rPr>
        <w:t>s</w:t>
      </w:r>
      <w:r w:rsidR="00453AEB" w:rsidRPr="00352F4C">
        <w:rPr>
          <w:rFonts w:cstheme="minorHAnsi"/>
        </w:rPr>
        <w:t xml:space="preserve">. </w:t>
      </w:r>
    </w:p>
    <w:p w14:paraId="030BD6AB" w14:textId="796E4336" w:rsidR="006D6170" w:rsidRPr="00352F4C" w:rsidRDefault="000734B7" w:rsidP="0010653C">
      <w:pPr>
        <w:pStyle w:val="BodyText"/>
        <w:rPr>
          <w:rFonts w:cstheme="minorHAnsi"/>
        </w:rPr>
      </w:pPr>
      <w:r w:rsidRPr="00352F4C">
        <w:rPr>
          <w:rFonts w:cstheme="minorHAnsi"/>
        </w:rPr>
        <w:t xml:space="preserve">The effect of this stigma is that </w:t>
      </w:r>
      <w:r w:rsidR="000A0035" w:rsidRPr="00352F4C">
        <w:rPr>
          <w:rFonts w:cstheme="minorHAnsi"/>
        </w:rPr>
        <w:t xml:space="preserve">individuals do not have the opportunity to develop the </w:t>
      </w:r>
      <w:r w:rsidR="00610B42">
        <w:rPr>
          <w:rFonts w:cstheme="minorHAnsi"/>
        </w:rPr>
        <w:t>ability</w:t>
      </w:r>
      <w:r w:rsidR="00453AEB" w:rsidRPr="00352F4C">
        <w:rPr>
          <w:rFonts w:cstheme="minorHAnsi"/>
        </w:rPr>
        <w:t xml:space="preserve"> to express it as</w:t>
      </w:r>
      <w:r w:rsidRPr="00352F4C">
        <w:rPr>
          <w:rFonts w:cstheme="minorHAnsi"/>
        </w:rPr>
        <w:t xml:space="preserve"> a </w:t>
      </w:r>
      <w:r w:rsidR="001E7365" w:rsidRPr="00352F4C">
        <w:rPr>
          <w:rFonts w:cstheme="minorHAnsi"/>
        </w:rPr>
        <w:t>particular social group</w:t>
      </w:r>
      <w:r w:rsidRPr="00352F4C">
        <w:rPr>
          <w:rFonts w:cstheme="minorHAnsi"/>
        </w:rPr>
        <w:t xml:space="preserve">. </w:t>
      </w:r>
      <w:r w:rsidR="00453AEB" w:rsidRPr="00352F4C">
        <w:rPr>
          <w:rFonts w:cstheme="minorHAnsi"/>
        </w:rPr>
        <w:t xml:space="preserve"> </w:t>
      </w:r>
      <w:r w:rsidR="004E02E7" w:rsidRPr="00352F4C">
        <w:rPr>
          <w:rFonts w:cstheme="minorHAnsi"/>
        </w:rPr>
        <w:t xml:space="preserve">Often, the asylum process is the </w:t>
      </w:r>
      <w:proofErr w:type="gramStart"/>
      <w:r w:rsidR="004E02E7" w:rsidRPr="00352F4C">
        <w:rPr>
          <w:rFonts w:cstheme="minorHAnsi"/>
        </w:rPr>
        <w:t>first time</w:t>
      </w:r>
      <w:proofErr w:type="gramEnd"/>
      <w:r w:rsidR="004E02E7" w:rsidRPr="00352F4C">
        <w:rPr>
          <w:rFonts w:cstheme="minorHAnsi"/>
        </w:rPr>
        <w:t xml:space="preserve"> applicants </w:t>
      </w:r>
      <w:r w:rsidR="004E02E7" w:rsidRPr="00352F4C">
        <w:rPr>
          <w:rFonts w:cstheme="minorHAnsi"/>
          <w:i/>
        </w:rPr>
        <w:t>ever</w:t>
      </w:r>
      <w:r w:rsidR="004E02E7" w:rsidRPr="00352F4C">
        <w:rPr>
          <w:rFonts w:cstheme="minorHAnsi"/>
        </w:rPr>
        <w:t xml:space="preserve"> discuss their experiences.</w:t>
      </w:r>
      <w:r w:rsidR="00CB2E16" w:rsidRPr="00352F4C">
        <w:rPr>
          <w:rStyle w:val="FootnoteReference"/>
          <w:rFonts w:cstheme="minorHAnsi"/>
        </w:rPr>
        <w:footnoteReference w:id="26"/>
      </w:r>
      <w:r w:rsidR="00AD3FB5" w:rsidRPr="00352F4C">
        <w:rPr>
          <w:rFonts w:cstheme="minorHAnsi"/>
        </w:rPr>
        <w:t xml:space="preserve"> And even then, often only after spending a substantial amount of time in the U</w:t>
      </w:r>
      <w:r w:rsidR="006347D8">
        <w:rPr>
          <w:rFonts w:cstheme="minorHAnsi"/>
        </w:rPr>
        <w:t>.S.</w:t>
      </w:r>
      <w:r w:rsidR="00AD3FB5" w:rsidRPr="00352F4C">
        <w:rPr>
          <w:rFonts w:cstheme="minorHAnsi"/>
        </w:rPr>
        <w:t xml:space="preserve">, where they have </w:t>
      </w:r>
      <w:r w:rsidR="00610B42">
        <w:rPr>
          <w:rFonts w:cstheme="minorHAnsi"/>
        </w:rPr>
        <w:t xml:space="preserve">had </w:t>
      </w:r>
      <w:r w:rsidR="00AD3FB5" w:rsidRPr="00352F4C">
        <w:rPr>
          <w:rFonts w:cstheme="minorHAnsi"/>
        </w:rPr>
        <w:t xml:space="preserve">a much more positive and supportive experience. </w:t>
      </w:r>
      <w:r w:rsidR="00AD3FB5" w:rsidRPr="00352F4C" w:rsidDel="00AD3FB5">
        <w:rPr>
          <w:rStyle w:val="CommentReference"/>
          <w:rFonts w:cstheme="minorHAnsi"/>
          <w:sz w:val="24"/>
          <w:szCs w:val="24"/>
        </w:rPr>
        <w:t xml:space="preserve"> </w:t>
      </w:r>
    </w:p>
    <w:p w14:paraId="78370E5F" w14:textId="31F3764F" w:rsidR="00095572" w:rsidRPr="00352F4C" w:rsidRDefault="00AD3FB5" w:rsidP="0010653C">
      <w:pPr>
        <w:pStyle w:val="BodyText"/>
        <w:rPr>
          <w:rFonts w:cstheme="minorHAnsi"/>
        </w:rPr>
      </w:pPr>
      <w:r w:rsidRPr="00352F4C">
        <w:rPr>
          <w:rFonts w:cstheme="minorHAnsi"/>
        </w:rPr>
        <w:t xml:space="preserve">Furthermore, </w:t>
      </w:r>
      <w:r w:rsidR="00CB2E16" w:rsidRPr="00352F4C">
        <w:rPr>
          <w:rFonts w:cstheme="minorHAnsi"/>
        </w:rPr>
        <w:t>u</w:t>
      </w:r>
      <w:r w:rsidR="003E65A3" w:rsidRPr="00352F4C">
        <w:rPr>
          <w:rFonts w:cstheme="minorHAnsi"/>
        </w:rPr>
        <w:t>nderstanding</w:t>
      </w:r>
      <w:r w:rsidRPr="00352F4C">
        <w:rPr>
          <w:rFonts w:cstheme="minorHAnsi"/>
        </w:rPr>
        <w:t xml:space="preserve"> </w:t>
      </w:r>
      <w:r w:rsidR="003E65A3" w:rsidRPr="00352F4C">
        <w:rPr>
          <w:rFonts w:cstheme="minorHAnsi"/>
        </w:rPr>
        <w:t xml:space="preserve">one’s </w:t>
      </w:r>
      <w:r w:rsidR="00610B42">
        <w:rPr>
          <w:rFonts w:cstheme="minorHAnsi"/>
        </w:rPr>
        <w:t xml:space="preserve">sexual orientation or gender </w:t>
      </w:r>
      <w:r w:rsidR="003E65A3" w:rsidRPr="00352F4C">
        <w:rPr>
          <w:rFonts w:cstheme="minorHAnsi"/>
        </w:rPr>
        <w:t xml:space="preserve">identity is a process that may take place over a period of time.  For example, a person assigned </w:t>
      </w:r>
      <w:r w:rsidR="00207097">
        <w:rPr>
          <w:rFonts w:cstheme="minorHAnsi"/>
        </w:rPr>
        <w:t>female</w:t>
      </w:r>
      <w:r w:rsidR="003E65A3" w:rsidRPr="00352F4C">
        <w:rPr>
          <w:rFonts w:cstheme="minorHAnsi"/>
        </w:rPr>
        <w:t xml:space="preserve"> at birth may first interpret their </w:t>
      </w:r>
      <w:r w:rsidR="00207097">
        <w:rPr>
          <w:rFonts w:cstheme="minorHAnsi"/>
        </w:rPr>
        <w:t>masculine</w:t>
      </w:r>
      <w:r w:rsidR="003E65A3" w:rsidRPr="00352F4C">
        <w:rPr>
          <w:rFonts w:cstheme="minorHAnsi"/>
        </w:rPr>
        <w:t xml:space="preserve"> </w:t>
      </w:r>
      <w:r w:rsidR="00610B42">
        <w:rPr>
          <w:rFonts w:cstheme="minorHAnsi"/>
        </w:rPr>
        <w:t xml:space="preserve">attributes </w:t>
      </w:r>
      <w:r w:rsidR="003E65A3" w:rsidRPr="00352F4C">
        <w:rPr>
          <w:rFonts w:cstheme="minorHAnsi"/>
        </w:rPr>
        <w:t xml:space="preserve">as an indication that they are </w:t>
      </w:r>
      <w:r w:rsidR="00207097">
        <w:rPr>
          <w:rFonts w:cstheme="minorHAnsi"/>
        </w:rPr>
        <w:t xml:space="preserve">lesbian </w:t>
      </w:r>
      <w:r w:rsidR="003E65A3" w:rsidRPr="00352F4C">
        <w:rPr>
          <w:rFonts w:cstheme="minorHAnsi"/>
        </w:rPr>
        <w:t xml:space="preserve">or bisexual, and may only later come to understand </w:t>
      </w:r>
      <w:r w:rsidRPr="00352F4C">
        <w:rPr>
          <w:rFonts w:cstheme="minorHAnsi"/>
        </w:rPr>
        <w:t xml:space="preserve">that they are a </w:t>
      </w:r>
      <w:r w:rsidR="003E65A3" w:rsidRPr="00352F4C">
        <w:rPr>
          <w:rFonts w:cstheme="minorHAnsi"/>
        </w:rPr>
        <w:t>transgender</w:t>
      </w:r>
      <w:r w:rsidRPr="00352F4C">
        <w:rPr>
          <w:rFonts w:cstheme="minorHAnsi"/>
        </w:rPr>
        <w:t xml:space="preserve"> man</w:t>
      </w:r>
      <w:r w:rsidR="003E65A3" w:rsidRPr="00352F4C">
        <w:rPr>
          <w:rFonts w:cstheme="minorHAnsi"/>
        </w:rPr>
        <w:t xml:space="preserve">.  This does not mean that a person’s identity is mutable—rather, it shows how difficult it can be for people </w:t>
      </w:r>
      <w:r w:rsidR="00207097">
        <w:rPr>
          <w:rFonts w:cstheme="minorHAnsi"/>
        </w:rPr>
        <w:t xml:space="preserve">with an evolving identity </w:t>
      </w:r>
      <w:r w:rsidR="003E65A3" w:rsidRPr="00352F4C">
        <w:rPr>
          <w:rFonts w:cstheme="minorHAnsi"/>
        </w:rPr>
        <w:t xml:space="preserve">to </w:t>
      </w:r>
      <w:r w:rsidR="00207097">
        <w:rPr>
          <w:rFonts w:cstheme="minorHAnsi"/>
        </w:rPr>
        <w:t xml:space="preserve">label themselves in a way that places them in a </w:t>
      </w:r>
      <w:r w:rsidR="00CB2E16" w:rsidRPr="00352F4C">
        <w:rPr>
          <w:rFonts w:cstheme="minorHAnsi"/>
        </w:rPr>
        <w:t>particular social group</w:t>
      </w:r>
      <w:r w:rsidR="00207097">
        <w:rPr>
          <w:rFonts w:cstheme="minorHAnsi"/>
        </w:rPr>
        <w:t xml:space="preserve"> at the moment they arrive in the United States. This is an unrealistic and untenable burden for many LGBTQ asylum seekers.</w:t>
      </w:r>
    </w:p>
    <w:p w14:paraId="732F51D0" w14:textId="7E6B21DC" w:rsidR="00AF0B78" w:rsidRPr="00352F4C" w:rsidRDefault="00CB2E16" w:rsidP="0010653C">
      <w:pPr>
        <w:pStyle w:val="BodyText"/>
        <w:rPr>
          <w:rFonts w:cstheme="minorHAnsi"/>
          <w:b/>
        </w:rPr>
      </w:pPr>
      <w:r w:rsidRPr="00352F4C">
        <w:rPr>
          <w:rFonts w:cstheme="minorHAnsi"/>
          <w:b/>
          <w:highlight w:val="yellow"/>
        </w:rPr>
        <w:t xml:space="preserve">[Add </w:t>
      </w:r>
      <w:r w:rsidR="00FF7C64" w:rsidRPr="00352F4C">
        <w:rPr>
          <w:rFonts w:cstheme="minorHAnsi"/>
          <w:b/>
          <w:highlight w:val="yellow"/>
        </w:rPr>
        <w:t>client stories that illustrate this issue.</w:t>
      </w:r>
      <w:r w:rsidRPr="00352F4C">
        <w:rPr>
          <w:rFonts w:cstheme="minorHAnsi"/>
          <w:b/>
          <w:highlight w:val="yellow"/>
        </w:rPr>
        <w:t>]</w:t>
      </w:r>
    </w:p>
    <w:p w14:paraId="7962A0B4" w14:textId="45200908" w:rsidR="001E7365" w:rsidRPr="00352F4C" w:rsidRDefault="00CB2E16" w:rsidP="0010653C">
      <w:pPr>
        <w:pStyle w:val="BodyText"/>
        <w:rPr>
          <w:rFonts w:cstheme="minorHAnsi"/>
        </w:rPr>
      </w:pPr>
      <w:r w:rsidRPr="00352F4C">
        <w:rPr>
          <w:rFonts w:cstheme="minorHAnsi"/>
          <w:b/>
          <w:u w:val="single"/>
        </w:rPr>
        <w:t>Lack of trust</w:t>
      </w:r>
      <w:r w:rsidRPr="00352F4C">
        <w:rPr>
          <w:rFonts w:cstheme="minorHAnsi"/>
        </w:rPr>
        <w:t xml:space="preserve">: </w:t>
      </w:r>
      <w:r w:rsidR="0032357D" w:rsidRPr="00352F4C">
        <w:rPr>
          <w:rFonts w:cstheme="minorHAnsi"/>
        </w:rPr>
        <w:t>Second, many LGBTQ refugees fleeing hostile countries may not feel comfortable immediately disclosing t</w:t>
      </w:r>
      <w:r w:rsidRPr="00352F4C">
        <w:rPr>
          <w:rFonts w:cstheme="minorHAnsi"/>
        </w:rPr>
        <w:t>heir status to authority figures</w:t>
      </w:r>
      <w:r w:rsidR="0032357D" w:rsidRPr="00352F4C">
        <w:rPr>
          <w:rFonts w:cstheme="minorHAnsi"/>
        </w:rPr>
        <w:t xml:space="preserve">.  </w:t>
      </w:r>
      <w:r w:rsidR="0027541A">
        <w:rPr>
          <w:rFonts w:cstheme="minorHAnsi"/>
        </w:rPr>
        <w:t>D</w:t>
      </w:r>
      <w:r w:rsidR="006D6170" w:rsidRPr="00352F4C">
        <w:rPr>
          <w:rFonts w:cstheme="minorHAnsi"/>
        </w:rPr>
        <w:t xml:space="preserve">isclosing one’s LGBTQ status may be </w:t>
      </w:r>
      <w:r w:rsidR="00AE3EE9" w:rsidRPr="00352F4C">
        <w:rPr>
          <w:rFonts w:cstheme="minorHAnsi"/>
        </w:rPr>
        <w:t xml:space="preserve">fraught </w:t>
      </w:r>
      <w:r w:rsidR="006D6170" w:rsidRPr="00352F4C">
        <w:rPr>
          <w:rFonts w:cstheme="minorHAnsi"/>
        </w:rPr>
        <w:t>with denial and shame, particularly in a climate of social stigma and violence.  In a hostile country, every single disclosure to an additional person—whether a family member, a doctor, a police officer, or an immigration official—poses the real po</w:t>
      </w:r>
      <w:r w:rsidR="00C63655" w:rsidRPr="00352F4C">
        <w:rPr>
          <w:rFonts w:cstheme="minorHAnsi"/>
        </w:rPr>
        <w:t xml:space="preserve">ssibility of further violence.  </w:t>
      </w:r>
      <w:r w:rsidR="00FF7C64" w:rsidRPr="00352F4C">
        <w:rPr>
          <w:rFonts w:cstheme="minorHAnsi"/>
        </w:rPr>
        <w:t>Often</w:t>
      </w:r>
      <w:r w:rsidR="00554898" w:rsidRPr="00352F4C">
        <w:rPr>
          <w:rFonts w:cstheme="minorHAnsi"/>
        </w:rPr>
        <w:t xml:space="preserve">, </w:t>
      </w:r>
      <w:r w:rsidRPr="00352F4C">
        <w:rPr>
          <w:rFonts w:cstheme="minorHAnsi"/>
        </w:rPr>
        <w:t>authority figures are themselves agent</w:t>
      </w:r>
      <w:r w:rsidR="00FF7C64" w:rsidRPr="00352F4C">
        <w:rPr>
          <w:rFonts w:cstheme="minorHAnsi"/>
        </w:rPr>
        <w:t>s</w:t>
      </w:r>
      <w:r w:rsidRPr="00352F4C">
        <w:rPr>
          <w:rFonts w:cstheme="minorHAnsi"/>
        </w:rPr>
        <w:t xml:space="preserve"> of persecution based on sexual orientation or gender identity.  Given the trauma and shame associated with persecution on account of sexual orientation or gender identity, an applicant may be unable or unwilling to immediately </w:t>
      </w:r>
      <w:r w:rsidR="008F386B" w:rsidRPr="00352F4C">
        <w:rPr>
          <w:rFonts w:cstheme="minorHAnsi"/>
        </w:rPr>
        <w:t>reveal LGBTQ status.</w:t>
      </w:r>
      <w:r w:rsidR="006D6170" w:rsidRPr="00352F4C">
        <w:rPr>
          <w:rFonts w:cstheme="minorHAnsi"/>
        </w:rPr>
        <w:t xml:space="preserve">  </w:t>
      </w:r>
    </w:p>
    <w:p w14:paraId="6BABA73E" w14:textId="2152C257" w:rsidR="00FF7C64" w:rsidRPr="00352F4C" w:rsidRDefault="00FF7C64" w:rsidP="00FF7C64">
      <w:pPr>
        <w:pStyle w:val="BodyText"/>
        <w:rPr>
          <w:rFonts w:cstheme="minorHAnsi"/>
          <w:b/>
        </w:rPr>
      </w:pPr>
      <w:r w:rsidRPr="00352F4C">
        <w:rPr>
          <w:rFonts w:cstheme="minorHAnsi"/>
          <w:b/>
          <w:highlight w:val="yellow"/>
        </w:rPr>
        <w:lastRenderedPageBreak/>
        <w:t>[Add client stories that illustrate this issue.]</w:t>
      </w:r>
    </w:p>
    <w:p w14:paraId="666DEB1E" w14:textId="7E1FEC93" w:rsidR="0032357D" w:rsidRPr="00352F4C" w:rsidRDefault="00FF7C64" w:rsidP="0010653C">
      <w:pPr>
        <w:pStyle w:val="BodyText"/>
        <w:rPr>
          <w:rFonts w:cstheme="minorHAnsi"/>
        </w:rPr>
      </w:pPr>
      <w:r w:rsidRPr="00352F4C" w:rsidDel="00FF7C64">
        <w:rPr>
          <w:rFonts w:cstheme="minorHAnsi"/>
          <w:b/>
          <w:highlight w:val="yellow"/>
        </w:rPr>
        <w:t xml:space="preserve"> </w:t>
      </w:r>
    </w:p>
    <w:p w14:paraId="6FF5C9EB" w14:textId="03FF16A9" w:rsidR="00862C49" w:rsidRPr="00352F4C" w:rsidRDefault="00CB2E16" w:rsidP="001B037B">
      <w:pPr>
        <w:pStyle w:val="Heading2"/>
        <w:rPr>
          <w:rFonts w:cstheme="minorHAnsi"/>
        </w:rPr>
      </w:pPr>
      <w:r w:rsidRPr="00352F4C">
        <w:rPr>
          <w:rFonts w:cstheme="minorHAnsi"/>
        </w:rPr>
        <w:t xml:space="preserve">The </w:t>
      </w:r>
      <w:r w:rsidR="0027541A">
        <w:rPr>
          <w:rFonts w:cstheme="minorHAnsi"/>
        </w:rPr>
        <w:t>“</w:t>
      </w:r>
      <w:r w:rsidRPr="00352F4C">
        <w:rPr>
          <w:rFonts w:cstheme="minorHAnsi"/>
        </w:rPr>
        <w:t>Nexus</w:t>
      </w:r>
      <w:r w:rsidR="0027541A">
        <w:rPr>
          <w:rFonts w:cstheme="minorHAnsi"/>
        </w:rPr>
        <w:t>”</w:t>
      </w:r>
      <w:r w:rsidRPr="00352F4C">
        <w:rPr>
          <w:rFonts w:cstheme="minorHAnsi"/>
        </w:rPr>
        <w:t xml:space="preserve"> </w:t>
      </w:r>
      <w:r w:rsidR="0027541A">
        <w:rPr>
          <w:rFonts w:cstheme="minorHAnsi"/>
        </w:rPr>
        <w:t>e</w:t>
      </w:r>
      <w:r w:rsidR="0032407D" w:rsidRPr="00352F4C">
        <w:rPr>
          <w:rFonts w:cstheme="minorHAnsi"/>
        </w:rPr>
        <w:t>xclusions</w:t>
      </w:r>
      <w:r w:rsidRPr="00352F4C">
        <w:rPr>
          <w:rFonts w:cstheme="minorHAnsi"/>
        </w:rPr>
        <w:t xml:space="preserve"> </w:t>
      </w:r>
      <w:r w:rsidR="0027541A">
        <w:rPr>
          <w:rFonts w:cstheme="minorHAnsi"/>
        </w:rPr>
        <w:t>c</w:t>
      </w:r>
      <w:r w:rsidR="00F32393" w:rsidRPr="00352F4C">
        <w:rPr>
          <w:rFonts w:cstheme="minorHAnsi"/>
        </w:rPr>
        <w:t xml:space="preserve">ould </w:t>
      </w:r>
      <w:r w:rsidR="001006F8">
        <w:rPr>
          <w:rFonts w:cstheme="minorHAnsi"/>
        </w:rPr>
        <w:t>inadvertently</w:t>
      </w:r>
      <w:r w:rsidR="00F32393" w:rsidRPr="00352F4C">
        <w:rPr>
          <w:rFonts w:cstheme="minorHAnsi"/>
        </w:rPr>
        <w:t xml:space="preserve"> </w:t>
      </w:r>
      <w:r w:rsidR="0027541A">
        <w:rPr>
          <w:rFonts w:cstheme="minorHAnsi"/>
        </w:rPr>
        <w:t>b</w:t>
      </w:r>
      <w:r w:rsidR="00F32393" w:rsidRPr="00352F4C">
        <w:rPr>
          <w:rFonts w:cstheme="minorHAnsi"/>
        </w:rPr>
        <w:t>ar</w:t>
      </w:r>
      <w:r w:rsidRPr="00352F4C">
        <w:rPr>
          <w:rFonts w:cstheme="minorHAnsi"/>
        </w:rPr>
        <w:t xml:space="preserve"> LGBTQ/H </w:t>
      </w:r>
      <w:r w:rsidR="0027541A">
        <w:rPr>
          <w:rFonts w:cstheme="minorHAnsi"/>
        </w:rPr>
        <w:t>a</w:t>
      </w:r>
      <w:r w:rsidRPr="00352F4C">
        <w:rPr>
          <w:rFonts w:cstheme="minorHAnsi"/>
        </w:rPr>
        <w:t xml:space="preserve">sylum </w:t>
      </w:r>
      <w:r w:rsidR="0027541A">
        <w:rPr>
          <w:rFonts w:cstheme="minorHAnsi"/>
        </w:rPr>
        <w:t>c</w:t>
      </w:r>
      <w:r w:rsidRPr="00352F4C">
        <w:rPr>
          <w:rFonts w:cstheme="minorHAnsi"/>
        </w:rPr>
        <w:t>laims</w:t>
      </w:r>
      <w:r w:rsidR="0027541A">
        <w:rPr>
          <w:rFonts w:cstheme="minorHAnsi"/>
        </w:rPr>
        <w:t>.</w:t>
      </w:r>
    </w:p>
    <w:p w14:paraId="7605DE2E" w14:textId="356CF8F0" w:rsidR="00652FBE" w:rsidRPr="00352F4C" w:rsidRDefault="00CB2E16" w:rsidP="00CE49DE">
      <w:pPr>
        <w:pStyle w:val="BodyText"/>
        <w:rPr>
          <w:rFonts w:cstheme="minorHAnsi"/>
        </w:rPr>
      </w:pPr>
      <w:r w:rsidRPr="00352F4C">
        <w:rPr>
          <w:rFonts w:cstheme="minorHAnsi"/>
        </w:rPr>
        <w:t xml:space="preserve">Under </w:t>
      </w:r>
      <w:r w:rsidR="0032407D" w:rsidRPr="00352F4C">
        <w:rPr>
          <w:rFonts w:cstheme="minorHAnsi"/>
        </w:rPr>
        <w:t>the INA</w:t>
      </w:r>
      <w:r w:rsidRPr="00352F4C">
        <w:rPr>
          <w:rFonts w:cstheme="minorHAnsi"/>
        </w:rPr>
        <w:t xml:space="preserve">, an asylum applicant must demonstrate that </w:t>
      </w:r>
      <w:r w:rsidR="000E7E4C">
        <w:rPr>
          <w:rFonts w:cstheme="minorHAnsi"/>
        </w:rPr>
        <w:t>their</w:t>
      </w:r>
      <w:r w:rsidRPr="00352F4C">
        <w:rPr>
          <w:rFonts w:cstheme="minorHAnsi"/>
        </w:rPr>
        <w:t xml:space="preserve"> protected ground is “at least one central reason” for </w:t>
      </w:r>
      <w:r w:rsidR="001006F8">
        <w:rPr>
          <w:rFonts w:cstheme="minorHAnsi"/>
        </w:rPr>
        <w:t>their</w:t>
      </w:r>
      <w:r w:rsidRPr="00352F4C">
        <w:rPr>
          <w:rFonts w:cstheme="minorHAnsi"/>
        </w:rPr>
        <w:t xml:space="preserve"> persecution or well-founded fear of persecution.</w:t>
      </w:r>
      <w:r w:rsidR="00054F79" w:rsidRPr="00352F4C">
        <w:rPr>
          <w:rFonts w:cstheme="minorHAnsi"/>
        </w:rPr>
        <w:t xml:space="preserve">  8 U.S.C. §</w:t>
      </w:r>
      <w:r w:rsidRPr="00352F4C">
        <w:rPr>
          <w:rFonts w:cstheme="minorHAnsi"/>
        </w:rPr>
        <w:t xml:space="preserve"> </w:t>
      </w:r>
      <w:r w:rsidR="00054F79" w:rsidRPr="00352F4C">
        <w:rPr>
          <w:rFonts w:cstheme="minorHAnsi"/>
        </w:rPr>
        <w:t>1158(b)(1)(B)(</w:t>
      </w:r>
      <w:proofErr w:type="spellStart"/>
      <w:r w:rsidR="00054F79" w:rsidRPr="00352F4C">
        <w:rPr>
          <w:rFonts w:cstheme="minorHAnsi"/>
        </w:rPr>
        <w:t>i</w:t>
      </w:r>
      <w:proofErr w:type="spellEnd"/>
      <w:r w:rsidR="00054F79" w:rsidRPr="00352F4C">
        <w:rPr>
          <w:rFonts w:cstheme="minorHAnsi"/>
        </w:rPr>
        <w:t>).</w:t>
      </w:r>
      <w:r w:rsidRPr="00352F4C">
        <w:rPr>
          <w:rFonts w:cstheme="minorHAnsi"/>
        </w:rPr>
        <w:t xml:space="preserve">  </w:t>
      </w:r>
      <w:r w:rsidR="00554898" w:rsidRPr="00352F4C">
        <w:rPr>
          <w:rFonts w:cstheme="minorHAnsi"/>
        </w:rPr>
        <w:t>Contrary to the INA,</w:t>
      </w:r>
      <w:r w:rsidR="00CE49DE" w:rsidRPr="00352F4C">
        <w:rPr>
          <w:rFonts w:cstheme="minorHAnsi"/>
        </w:rPr>
        <w:t xml:space="preserve"> </w:t>
      </w:r>
      <w:r w:rsidR="00554898" w:rsidRPr="00352F4C">
        <w:rPr>
          <w:rFonts w:cstheme="minorHAnsi"/>
        </w:rPr>
        <w:t>t</w:t>
      </w:r>
      <w:r w:rsidRPr="00352F4C">
        <w:rPr>
          <w:rFonts w:cstheme="minorHAnsi"/>
        </w:rPr>
        <w:t>he Proposed R</w:t>
      </w:r>
      <w:r w:rsidR="00862C49" w:rsidRPr="00352F4C">
        <w:rPr>
          <w:rFonts w:cstheme="minorHAnsi"/>
        </w:rPr>
        <w:t xml:space="preserve">ule advances eight </w:t>
      </w:r>
      <w:r w:rsidR="00C01474" w:rsidRPr="00352F4C">
        <w:rPr>
          <w:rFonts w:cstheme="minorHAnsi"/>
        </w:rPr>
        <w:t xml:space="preserve">blanket </w:t>
      </w:r>
      <w:r w:rsidR="00862C49" w:rsidRPr="00352F4C">
        <w:rPr>
          <w:rFonts w:cstheme="minorHAnsi"/>
        </w:rPr>
        <w:t xml:space="preserve">circumstances that the government would find insufficient to establish </w:t>
      </w:r>
      <w:r w:rsidR="0032357D" w:rsidRPr="00352F4C">
        <w:rPr>
          <w:rFonts w:cstheme="minorHAnsi"/>
        </w:rPr>
        <w:t>persecution on account of a protected ground.</w:t>
      </w:r>
      <w:r w:rsidR="00985B3B" w:rsidRPr="00352F4C">
        <w:rPr>
          <w:rFonts w:cstheme="minorHAnsi"/>
        </w:rPr>
        <w:t xml:space="preserve">  </w:t>
      </w:r>
      <w:r w:rsidR="00985B3B" w:rsidRPr="00352F4C">
        <w:rPr>
          <w:rFonts w:cstheme="minorHAnsi"/>
          <w:i/>
        </w:rPr>
        <w:t>See</w:t>
      </w:r>
      <w:r w:rsidR="00985B3B" w:rsidRPr="00352F4C">
        <w:rPr>
          <w:rFonts w:cstheme="minorHAnsi"/>
        </w:rPr>
        <w:t xml:space="preserve"> Proposed</w:t>
      </w:r>
      <w:r w:rsidR="00FF2D5A" w:rsidRPr="00352F4C">
        <w:rPr>
          <w:rFonts w:cstheme="minorHAnsi"/>
        </w:rPr>
        <w:t xml:space="preserve"> Rule</w:t>
      </w:r>
      <w:r w:rsidR="00985B3B" w:rsidRPr="00352F4C">
        <w:rPr>
          <w:rFonts w:cstheme="minorHAnsi"/>
        </w:rPr>
        <w:t xml:space="preserve"> </w:t>
      </w:r>
      <w:r w:rsidR="00560017" w:rsidRPr="00352F4C">
        <w:rPr>
          <w:rFonts w:cstheme="minorHAnsi"/>
        </w:rPr>
        <w:t xml:space="preserve">§ </w:t>
      </w:r>
      <w:r w:rsidR="00985B3B" w:rsidRPr="00352F4C">
        <w:rPr>
          <w:rFonts w:cstheme="minorHAnsi"/>
        </w:rPr>
        <w:t>208.1(f)(1)(</w:t>
      </w:r>
      <w:proofErr w:type="spellStart"/>
      <w:r w:rsidR="00985B3B" w:rsidRPr="00352F4C">
        <w:rPr>
          <w:rFonts w:cstheme="minorHAnsi"/>
        </w:rPr>
        <w:t>i</w:t>
      </w:r>
      <w:proofErr w:type="spellEnd"/>
      <w:r w:rsidR="00985B3B" w:rsidRPr="00352F4C">
        <w:rPr>
          <w:rFonts w:cstheme="minorHAnsi"/>
        </w:rPr>
        <w:t>)</w:t>
      </w:r>
      <w:r w:rsidRPr="00352F4C">
        <w:rPr>
          <w:rFonts w:cstheme="minorHAnsi"/>
        </w:rPr>
        <w:t>–</w:t>
      </w:r>
      <w:r w:rsidR="00985B3B" w:rsidRPr="00352F4C">
        <w:rPr>
          <w:rFonts w:cstheme="minorHAnsi"/>
        </w:rPr>
        <w:t xml:space="preserve">(viii); </w:t>
      </w:r>
      <w:r w:rsidR="00561CCB" w:rsidRPr="00352F4C">
        <w:rPr>
          <w:rFonts w:cstheme="minorHAnsi"/>
        </w:rPr>
        <w:t>Notice at 36281</w:t>
      </w:r>
      <w:r w:rsidR="00985B3B" w:rsidRPr="00352F4C">
        <w:rPr>
          <w:rFonts w:cstheme="minorHAnsi"/>
        </w:rPr>
        <w:t>.</w:t>
      </w:r>
      <w:r w:rsidRPr="00352F4C">
        <w:rPr>
          <w:rStyle w:val="FootnoteReference"/>
          <w:rFonts w:cstheme="minorHAnsi"/>
        </w:rPr>
        <w:footnoteReference w:id="27"/>
      </w:r>
      <w:r w:rsidRPr="00352F4C">
        <w:rPr>
          <w:rFonts w:cstheme="minorHAnsi"/>
        </w:rPr>
        <w:t xml:space="preserve">  </w:t>
      </w:r>
    </w:p>
    <w:p w14:paraId="3AACC237" w14:textId="236FC07C" w:rsidR="00E77384" w:rsidRPr="00352F4C" w:rsidRDefault="00CB2E16" w:rsidP="00F31AB7">
      <w:pPr>
        <w:pStyle w:val="BodyText"/>
        <w:rPr>
          <w:rFonts w:cstheme="minorHAnsi"/>
        </w:rPr>
      </w:pPr>
      <w:r w:rsidRPr="00352F4C">
        <w:rPr>
          <w:rFonts w:cstheme="minorHAnsi"/>
        </w:rPr>
        <w:t>Substantively</w:t>
      </w:r>
      <w:r w:rsidR="0054420C" w:rsidRPr="00352F4C">
        <w:rPr>
          <w:rFonts w:cstheme="minorHAnsi"/>
        </w:rPr>
        <w:t xml:space="preserve">, the proposed nexus </w:t>
      </w:r>
      <w:r w:rsidRPr="00352F4C">
        <w:rPr>
          <w:rFonts w:cstheme="minorHAnsi"/>
        </w:rPr>
        <w:t>exclusions are so broadly drawn</w:t>
      </w:r>
      <w:r w:rsidR="00A778E8" w:rsidRPr="00352F4C">
        <w:rPr>
          <w:rFonts w:cstheme="minorHAnsi"/>
        </w:rPr>
        <w:t xml:space="preserve"> </w:t>
      </w:r>
      <w:r w:rsidRPr="00352F4C">
        <w:rPr>
          <w:rFonts w:cstheme="minorHAnsi"/>
        </w:rPr>
        <w:t>that they would</w:t>
      </w:r>
      <w:r w:rsidR="00A778E8" w:rsidRPr="00352F4C">
        <w:rPr>
          <w:rFonts w:cstheme="minorHAnsi"/>
        </w:rPr>
        <w:t xml:space="preserve"> radically confine the scope of P</w:t>
      </w:r>
      <w:r w:rsidR="00FC3E97" w:rsidRPr="00352F4C">
        <w:rPr>
          <w:rFonts w:cstheme="minorHAnsi"/>
        </w:rPr>
        <w:t xml:space="preserve">SG claims. </w:t>
      </w:r>
      <w:r w:rsidRPr="00352F4C">
        <w:rPr>
          <w:rFonts w:cstheme="minorHAnsi"/>
        </w:rPr>
        <w:t xml:space="preserve"> </w:t>
      </w:r>
    </w:p>
    <w:p w14:paraId="3318371B" w14:textId="4686AC34" w:rsidR="008319BE" w:rsidRDefault="00E77384" w:rsidP="00F31AB7">
      <w:pPr>
        <w:pStyle w:val="BodyText"/>
        <w:rPr>
          <w:rFonts w:cstheme="minorHAnsi"/>
        </w:rPr>
      </w:pPr>
      <w:r w:rsidRPr="00352F4C">
        <w:rPr>
          <w:rFonts w:cstheme="minorHAnsi"/>
          <w:b/>
          <w:u w:val="single"/>
        </w:rPr>
        <w:t xml:space="preserve">Personal </w:t>
      </w:r>
      <w:r w:rsidR="008319BE" w:rsidRPr="00352F4C">
        <w:rPr>
          <w:rFonts w:cstheme="minorHAnsi"/>
          <w:b/>
          <w:u w:val="single"/>
        </w:rPr>
        <w:t>a</w:t>
      </w:r>
      <w:r w:rsidRPr="00352F4C">
        <w:rPr>
          <w:rFonts w:cstheme="minorHAnsi"/>
          <w:b/>
          <w:u w:val="single"/>
        </w:rPr>
        <w:t xml:space="preserve">nimus or </w:t>
      </w:r>
      <w:r w:rsidR="008319BE" w:rsidRPr="00352F4C">
        <w:rPr>
          <w:rFonts w:cstheme="minorHAnsi"/>
          <w:b/>
          <w:u w:val="single"/>
        </w:rPr>
        <w:t>r</w:t>
      </w:r>
      <w:r w:rsidRPr="00352F4C">
        <w:rPr>
          <w:rFonts w:cstheme="minorHAnsi"/>
          <w:b/>
          <w:u w:val="single"/>
        </w:rPr>
        <w:t>etribution</w:t>
      </w:r>
      <w:r w:rsidRPr="00352F4C">
        <w:rPr>
          <w:rFonts w:cstheme="minorHAnsi"/>
        </w:rPr>
        <w:t xml:space="preserve">. </w:t>
      </w:r>
      <w:r w:rsidR="008319BE" w:rsidRPr="00352F4C">
        <w:rPr>
          <w:rFonts w:cstheme="minorHAnsi"/>
        </w:rPr>
        <w:t>The</w:t>
      </w:r>
      <w:r w:rsidR="00CB2E16" w:rsidRPr="00352F4C">
        <w:rPr>
          <w:rFonts w:cstheme="minorHAnsi"/>
        </w:rPr>
        <w:t xml:space="preserve"> </w:t>
      </w:r>
      <w:r w:rsidR="008F386B" w:rsidRPr="00352F4C">
        <w:rPr>
          <w:rFonts w:cstheme="minorHAnsi"/>
        </w:rPr>
        <w:t>Proposed Rule</w:t>
      </w:r>
      <w:r w:rsidR="00CB2E16" w:rsidRPr="00352F4C">
        <w:rPr>
          <w:rFonts w:cstheme="minorHAnsi"/>
        </w:rPr>
        <w:t xml:space="preserve"> provides that “personal animus or retribution” would be an insufficient nexus to establish an act of persecution against an </w:t>
      </w:r>
      <w:r w:rsidR="00FF2D5A" w:rsidRPr="00352F4C">
        <w:rPr>
          <w:rFonts w:cstheme="minorHAnsi"/>
        </w:rPr>
        <w:t>applicant</w:t>
      </w:r>
      <w:r w:rsidR="00CB2E16" w:rsidRPr="00352F4C">
        <w:rPr>
          <w:rFonts w:cstheme="minorHAnsi"/>
        </w:rPr>
        <w:t xml:space="preserve">.  </w:t>
      </w:r>
      <w:r w:rsidR="00FF2D5A" w:rsidRPr="00352F4C">
        <w:rPr>
          <w:rFonts w:cstheme="minorHAnsi"/>
          <w:i/>
        </w:rPr>
        <w:t>See</w:t>
      </w:r>
      <w:r w:rsidR="00FF2D5A" w:rsidRPr="00352F4C">
        <w:rPr>
          <w:rFonts w:cstheme="minorHAnsi"/>
        </w:rPr>
        <w:t xml:space="preserve"> Proposed Rule </w:t>
      </w:r>
      <w:r w:rsidR="00560017" w:rsidRPr="00352F4C">
        <w:rPr>
          <w:rFonts w:cstheme="minorHAnsi"/>
        </w:rPr>
        <w:t xml:space="preserve">§ </w:t>
      </w:r>
      <w:r w:rsidR="00FF2D5A" w:rsidRPr="00352F4C">
        <w:rPr>
          <w:rFonts w:cstheme="minorHAnsi"/>
        </w:rPr>
        <w:t>208.1(f)(1)(</w:t>
      </w:r>
      <w:proofErr w:type="spellStart"/>
      <w:r w:rsidR="00FF2D5A" w:rsidRPr="00352F4C">
        <w:rPr>
          <w:rFonts w:cstheme="minorHAnsi"/>
        </w:rPr>
        <w:t>i</w:t>
      </w:r>
      <w:proofErr w:type="spellEnd"/>
      <w:r w:rsidR="00FF2D5A" w:rsidRPr="00352F4C">
        <w:rPr>
          <w:rFonts w:cstheme="minorHAnsi"/>
        </w:rPr>
        <w:t xml:space="preserve">); </w:t>
      </w:r>
      <w:r w:rsidR="00561CCB" w:rsidRPr="00352F4C">
        <w:rPr>
          <w:rFonts w:cstheme="minorHAnsi"/>
        </w:rPr>
        <w:t>Notice</w:t>
      </w:r>
      <w:r w:rsidR="00FF2D5A" w:rsidRPr="00352F4C">
        <w:rPr>
          <w:rFonts w:cstheme="minorHAnsi"/>
        </w:rPr>
        <w:t xml:space="preserve"> at </w:t>
      </w:r>
      <w:r w:rsidR="00E11DAA" w:rsidRPr="00352F4C">
        <w:rPr>
          <w:rFonts w:cstheme="minorHAnsi"/>
        </w:rPr>
        <w:t>63</w:t>
      </w:r>
      <w:r w:rsidR="00FF2D5A" w:rsidRPr="00352F4C">
        <w:rPr>
          <w:rFonts w:cstheme="minorHAnsi"/>
        </w:rPr>
        <w:t xml:space="preserve">.  </w:t>
      </w:r>
      <w:r w:rsidR="00CB2E16" w:rsidRPr="00352F4C">
        <w:rPr>
          <w:rFonts w:cstheme="minorHAnsi"/>
        </w:rPr>
        <w:t xml:space="preserve">Yet an action motivated by </w:t>
      </w:r>
      <w:r w:rsidR="00CC5FF7" w:rsidRPr="00352F4C">
        <w:rPr>
          <w:rFonts w:cstheme="minorHAnsi"/>
        </w:rPr>
        <w:t xml:space="preserve">anti-LGBTQ sentiment </w:t>
      </w:r>
      <w:r w:rsidR="00CB2E16" w:rsidRPr="00352F4C">
        <w:rPr>
          <w:rFonts w:cstheme="minorHAnsi"/>
        </w:rPr>
        <w:t>often turns on, and manifests as, personal animus.</w:t>
      </w:r>
      <w:r w:rsidR="001006F8">
        <w:rPr>
          <w:rFonts w:cstheme="minorHAnsi"/>
        </w:rPr>
        <w:t xml:space="preserve">  Personal animus is the motivation for almost all persecution.  Presumably, if a persecutor did not have personal animus against someone, they would not subject them to persecution.  </w:t>
      </w:r>
      <w:r w:rsidR="006347D8">
        <w:rPr>
          <w:rFonts w:cstheme="minorHAnsi"/>
        </w:rPr>
        <w:t xml:space="preserve">Significantly, </w:t>
      </w:r>
      <w:r w:rsidR="00C01474" w:rsidRPr="00352F4C">
        <w:rPr>
          <w:rFonts w:cstheme="minorHAnsi"/>
        </w:rPr>
        <w:t xml:space="preserve">the Proposed Rule </w:t>
      </w:r>
      <w:r w:rsidR="006347D8">
        <w:rPr>
          <w:rFonts w:cstheme="minorHAnsi"/>
        </w:rPr>
        <w:t>does not provide</w:t>
      </w:r>
      <w:r w:rsidR="00C01474" w:rsidRPr="00352F4C">
        <w:rPr>
          <w:rFonts w:cstheme="minorHAnsi"/>
        </w:rPr>
        <w:t xml:space="preserve"> guidance </w:t>
      </w:r>
      <w:r w:rsidR="006347D8">
        <w:rPr>
          <w:rFonts w:cstheme="minorHAnsi"/>
        </w:rPr>
        <w:t>o</w:t>
      </w:r>
      <w:r w:rsidR="00C01474" w:rsidRPr="00352F4C">
        <w:rPr>
          <w:rFonts w:cstheme="minorHAnsi"/>
        </w:rPr>
        <w:t>n distinguishing “personal animus” from persecution on the basis of a protected characteristic</w:t>
      </w:r>
      <w:r w:rsidR="001006F8">
        <w:rPr>
          <w:rFonts w:cstheme="minorHAnsi"/>
        </w:rPr>
        <w:t xml:space="preserve">, nor could it. </w:t>
      </w:r>
    </w:p>
    <w:p w14:paraId="63E93EC9" w14:textId="19324FBC" w:rsidR="004368B2" w:rsidRPr="00352F4C" w:rsidRDefault="004368B2" w:rsidP="004368B2">
      <w:pPr>
        <w:pStyle w:val="BodyText"/>
        <w:rPr>
          <w:rFonts w:cstheme="minorHAnsi"/>
          <w:b/>
        </w:rPr>
      </w:pPr>
      <w:r w:rsidRPr="004368B2">
        <w:rPr>
          <w:rFonts w:cstheme="minorHAnsi"/>
          <w:b/>
          <w:highlight w:val="yellow"/>
        </w:rPr>
        <w:t xml:space="preserve">[Insert relevant </w:t>
      </w:r>
      <w:r w:rsidR="0055749F">
        <w:rPr>
          <w:rFonts w:cstheme="minorHAnsi"/>
          <w:b/>
          <w:highlight w:val="yellow"/>
        </w:rPr>
        <w:t>example/</w:t>
      </w:r>
      <w:r w:rsidRPr="004368B2">
        <w:rPr>
          <w:rFonts w:cstheme="minorHAnsi"/>
          <w:b/>
          <w:highlight w:val="yellow"/>
        </w:rPr>
        <w:t>client stor</w:t>
      </w:r>
      <w:r>
        <w:rPr>
          <w:rFonts w:cstheme="minorHAnsi"/>
          <w:b/>
          <w:highlight w:val="yellow"/>
        </w:rPr>
        <w:t>y</w:t>
      </w:r>
      <w:r w:rsidR="006347D8">
        <w:rPr>
          <w:rFonts w:cstheme="minorHAnsi"/>
          <w:b/>
          <w:highlight w:val="yellow"/>
        </w:rPr>
        <w:t xml:space="preserve"> re personal animus/retribution</w:t>
      </w:r>
      <w:r w:rsidRPr="004368B2">
        <w:rPr>
          <w:rFonts w:cstheme="minorHAnsi"/>
          <w:b/>
          <w:highlight w:val="yellow"/>
        </w:rPr>
        <w:t>.]</w:t>
      </w:r>
    </w:p>
    <w:p w14:paraId="58FFAB02" w14:textId="662D4CF3" w:rsidR="00FF2D5A" w:rsidRPr="00352F4C" w:rsidRDefault="00CB2E16" w:rsidP="00F31AB7">
      <w:pPr>
        <w:pStyle w:val="BodyText"/>
        <w:rPr>
          <w:rFonts w:cstheme="minorHAnsi"/>
        </w:rPr>
      </w:pPr>
      <w:r w:rsidRPr="00352F4C">
        <w:rPr>
          <w:rFonts w:cstheme="minorHAnsi"/>
          <w:b/>
          <w:u w:val="single"/>
        </w:rPr>
        <w:t>I</w:t>
      </w:r>
      <w:r w:rsidR="006948E6" w:rsidRPr="00352F4C">
        <w:rPr>
          <w:rFonts w:cstheme="minorHAnsi"/>
          <w:b/>
          <w:u w:val="single"/>
        </w:rPr>
        <w:t>nterpersonal animus where others not targeted</w:t>
      </w:r>
      <w:r w:rsidR="008319BE" w:rsidRPr="00352F4C">
        <w:rPr>
          <w:rFonts w:cstheme="minorHAnsi"/>
          <w:b/>
          <w:u w:val="single"/>
        </w:rPr>
        <w:t xml:space="preserve">.  </w:t>
      </w:r>
      <w:r w:rsidR="00F31AB7" w:rsidRPr="00352F4C">
        <w:rPr>
          <w:rFonts w:cstheme="minorHAnsi"/>
        </w:rPr>
        <w:t>The</w:t>
      </w:r>
      <w:r w:rsidRPr="00352F4C">
        <w:rPr>
          <w:rFonts w:cstheme="minorHAnsi"/>
        </w:rPr>
        <w:t xml:space="preserve"> Proposed Rule would </w:t>
      </w:r>
      <w:r w:rsidR="00F31AB7" w:rsidRPr="00352F4C">
        <w:rPr>
          <w:rFonts w:cstheme="minorHAnsi"/>
        </w:rPr>
        <w:t xml:space="preserve">also </w:t>
      </w:r>
      <w:r w:rsidRPr="00352F4C">
        <w:rPr>
          <w:rFonts w:cstheme="minorHAnsi"/>
        </w:rPr>
        <w:t xml:space="preserve">exclude “interpersonal animus in which the alleged persecutor has not targeted, or manifested an animus against, other members of an alleged particular social group in addition to the member who has raised the claim at issue.”  </w:t>
      </w:r>
      <w:r w:rsidRPr="00352F4C">
        <w:rPr>
          <w:rFonts w:cstheme="minorHAnsi"/>
          <w:i/>
        </w:rPr>
        <w:t>See</w:t>
      </w:r>
      <w:r w:rsidRPr="00352F4C">
        <w:rPr>
          <w:rFonts w:cstheme="minorHAnsi"/>
        </w:rPr>
        <w:t xml:space="preserve"> Proposed Rule</w:t>
      </w:r>
      <w:r w:rsidR="00560017" w:rsidRPr="00352F4C">
        <w:rPr>
          <w:rFonts w:cstheme="minorHAnsi"/>
        </w:rPr>
        <w:t xml:space="preserve"> §</w:t>
      </w:r>
      <w:r w:rsidRPr="00352F4C">
        <w:rPr>
          <w:rFonts w:cstheme="minorHAnsi"/>
        </w:rPr>
        <w:t xml:space="preserve"> 208.1(f)(1)(</w:t>
      </w:r>
      <w:proofErr w:type="spellStart"/>
      <w:r w:rsidRPr="00352F4C">
        <w:rPr>
          <w:rFonts w:cstheme="minorHAnsi"/>
        </w:rPr>
        <w:t>i</w:t>
      </w:r>
      <w:proofErr w:type="spellEnd"/>
      <w:r w:rsidRPr="00352F4C">
        <w:rPr>
          <w:rFonts w:cstheme="minorHAnsi"/>
        </w:rPr>
        <w:t xml:space="preserve">); </w:t>
      </w:r>
      <w:r w:rsidR="00561CCB" w:rsidRPr="00352F4C">
        <w:rPr>
          <w:rFonts w:cstheme="minorHAnsi"/>
        </w:rPr>
        <w:t xml:space="preserve">Notice at </w:t>
      </w:r>
      <w:r w:rsidR="00E11DAA" w:rsidRPr="00352F4C">
        <w:rPr>
          <w:rFonts w:cstheme="minorHAnsi"/>
        </w:rPr>
        <w:t>63</w:t>
      </w:r>
      <w:r w:rsidRPr="00352F4C">
        <w:rPr>
          <w:rFonts w:cstheme="minorHAnsi"/>
        </w:rPr>
        <w:t xml:space="preserve">.  There is no basis in law to require a </w:t>
      </w:r>
      <w:r w:rsidR="00F46A15">
        <w:rPr>
          <w:rFonts w:cstheme="minorHAnsi"/>
        </w:rPr>
        <w:t>survivor</w:t>
      </w:r>
      <w:r w:rsidRPr="00352F4C">
        <w:rPr>
          <w:rFonts w:cstheme="minorHAnsi"/>
        </w:rPr>
        <w:t xml:space="preserve"> of persecution show that </w:t>
      </w:r>
      <w:r w:rsidRPr="00352F4C">
        <w:rPr>
          <w:rFonts w:cstheme="minorHAnsi"/>
          <w:i/>
        </w:rPr>
        <w:t>others</w:t>
      </w:r>
      <w:r w:rsidRPr="00352F4C">
        <w:rPr>
          <w:rFonts w:cstheme="minorHAnsi"/>
        </w:rPr>
        <w:t xml:space="preserve"> have been persecuted in order to satisfy that individual’s asylum application.</w:t>
      </w:r>
    </w:p>
    <w:p w14:paraId="1B9A858E" w14:textId="5C474110" w:rsidR="00714E48" w:rsidRPr="00352F4C" w:rsidRDefault="004368B2" w:rsidP="006948E6">
      <w:pPr>
        <w:pStyle w:val="BodyText"/>
        <w:rPr>
          <w:rFonts w:cstheme="minorHAnsi"/>
        </w:rPr>
      </w:pPr>
      <w:r>
        <w:rPr>
          <w:rFonts w:cstheme="minorHAnsi"/>
        </w:rPr>
        <w:t>The</w:t>
      </w:r>
      <w:r w:rsidR="00CB2E16" w:rsidRPr="00352F4C">
        <w:rPr>
          <w:rFonts w:cstheme="minorHAnsi"/>
        </w:rPr>
        <w:t xml:space="preserve"> p</w:t>
      </w:r>
      <w:r w:rsidR="006948E6" w:rsidRPr="00352F4C">
        <w:rPr>
          <w:rFonts w:cstheme="minorHAnsi"/>
        </w:rPr>
        <w:t>ersecution of LGBTQ people is</w:t>
      </w:r>
      <w:r w:rsidR="004E1575" w:rsidRPr="00352F4C">
        <w:rPr>
          <w:rFonts w:cstheme="minorHAnsi"/>
        </w:rPr>
        <w:t xml:space="preserve"> fr</w:t>
      </w:r>
      <w:r w:rsidR="00CB2E16" w:rsidRPr="00352F4C">
        <w:rPr>
          <w:rFonts w:cstheme="minorHAnsi"/>
        </w:rPr>
        <w:t>equently and acutely personal, and regularly committed by private actors close to the applicant.  Indeed, the applicant may be the first LGBTQ individual such persecutors believe they have ever encountered.  A</w:t>
      </w:r>
      <w:r w:rsidR="000E7E4C">
        <w:rPr>
          <w:rFonts w:cstheme="minorHAnsi"/>
        </w:rPr>
        <w:t>n anti LGBTQ</w:t>
      </w:r>
      <w:r w:rsidR="009A60BB" w:rsidRPr="00352F4C">
        <w:rPr>
          <w:rFonts w:cstheme="minorHAnsi"/>
        </w:rPr>
        <w:t xml:space="preserve"> </w:t>
      </w:r>
      <w:r w:rsidR="00CB2E16" w:rsidRPr="00352F4C">
        <w:rPr>
          <w:rFonts w:cstheme="minorHAnsi"/>
        </w:rPr>
        <w:t xml:space="preserve">family member who has never manifested animus against other LGBTQ individuals—again, </w:t>
      </w:r>
      <w:r w:rsidR="00CB2E16" w:rsidRPr="00352F4C">
        <w:rPr>
          <w:rFonts w:cstheme="minorHAnsi"/>
          <w:i/>
        </w:rPr>
        <w:t>because they think they have never met another one</w:t>
      </w:r>
      <w:r w:rsidR="00CB2E16" w:rsidRPr="00352F4C">
        <w:rPr>
          <w:rFonts w:cstheme="minorHAnsi"/>
        </w:rPr>
        <w:t xml:space="preserve">—may specifically target the applicant with violence as a stand-in for animus against LGBTQ people in general.  The </w:t>
      </w:r>
      <w:r w:rsidR="006347D8">
        <w:rPr>
          <w:rFonts w:cstheme="minorHAnsi"/>
        </w:rPr>
        <w:t>Proposed R</w:t>
      </w:r>
      <w:r w:rsidR="00CB2E16" w:rsidRPr="00352F4C">
        <w:rPr>
          <w:rFonts w:cstheme="minorHAnsi"/>
        </w:rPr>
        <w:t xml:space="preserve">ule creates the perverse result in which a persecutor targeting one LGBTQ individual on account of that individual’s sexual orientation or gender identity is not enough on its own to establish an asylum claim.  </w:t>
      </w:r>
    </w:p>
    <w:p w14:paraId="0A73E498" w14:textId="77777777" w:rsidR="0055749F" w:rsidRPr="00352F4C" w:rsidRDefault="00F31AB7" w:rsidP="0055749F">
      <w:pPr>
        <w:pStyle w:val="BodyText"/>
        <w:rPr>
          <w:rFonts w:cstheme="minorHAnsi"/>
          <w:b/>
        </w:rPr>
      </w:pPr>
      <w:r w:rsidRPr="00352F4C" w:rsidDel="00F31AB7">
        <w:rPr>
          <w:rFonts w:cstheme="minorHAnsi"/>
        </w:rPr>
        <w:lastRenderedPageBreak/>
        <w:t xml:space="preserve"> </w:t>
      </w:r>
      <w:r w:rsidR="0055749F" w:rsidRPr="004368B2">
        <w:rPr>
          <w:rFonts w:cstheme="minorHAnsi"/>
          <w:b/>
          <w:highlight w:val="yellow"/>
        </w:rPr>
        <w:t xml:space="preserve">[Insert relevant </w:t>
      </w:r>
      <w:r w:rsidR="0055749F">
        <w:rPr>
          <w:rFonts w:cstheme="minorHAnsi"/>
          <w:b/>
          <w:highlight w:val="yellow"/>
        </w:rPr>
        <w:t>example/</w:t>
      </w:r>
      <w:r w:rsidR="0055749F" w:rsidRPr="004368B2">
        <w:rPr>
          <w:rFonts w:cstheme="minorHAnsi"/>
          <w:b/>
          <w:highlight w:val="yellow"/>
        </w:rPr>
        <w:t>client stor</w:t>
      </w:r>
      <w:r w:rsidR="0055749F">
        <w:rPr>
          <w:rFonts w:cstheme="minorHAnsi"/>
          <w:b/>
          <w:highlight w:val="yellow"/>
        </w:rPr>
        <w:t>y</w:t>
      </w:r>
      <w:r w:rsidR="0055749F" w:rsidRPr="004368B2">
        <w:rPr>
          <w:rFonts w:cstheme="minorHAnsi"/>
          <w:b/>
          <w:highlight w:val="yellow"/>
        </w:rPr>
        <w:t>.]</w:t>
      </w:r>
    </w:p>
    <w:p w14:paraId="57153CF9" w14:textId="55FCCEC7" w:rsidR="00AA407C" w:rsidRPr="00352F4C" w:rsidRDefault="00CB2E16" w:rsidP="006948E6">
      <w:pPr>
        <w:pStyle w:val="BodyText"/>
        <w:rPr>
          <w:rFonts w:cstheme="minorHAnsi"/>
        </w:rPr>
      </w:pPr>
      <w:r w:rsidRPr="00352F4C">
        <w:rPr>
          <w:rFonts w:cstheme="minorHAnsi"/>
        </w:rPr>
        <w:t xml:space="preserve">Requiring a </w:t>
      </w:r>
      <w:r w:rsidR="00F46A15">
        <w:rPr>
          <w:rFonts w:cstheme="minorHAnsi"/>
        </w:rPr>
        <w:t>survivor</w:t>
      </w:r>
      <w:r w:rsidRPr="00352F4C">
        <w:rPr>
          <w:rFonts w:cstheme="minorHAnsi"/>
        </w:rPr>
        <w:t xml:space="preserve"> of persecution to know how a persecutor has treated other LGBTQ people would operate as an effective bar.  It would be manifestly unreasonable to require an individual applicant to prove that a persecutor has targeted or manifested animus against other LGBTQ individuals in order to show that the individual’s own persecution was attributable to animus against </w:t>
      </w:r>
      <w:r w:rsidR="00F46A15">
        <w:rPr>
          <w:rFonts w:cstheme="minorHAnsi"/>
        </w:rPr>
        <w:t>their</w:t>
      </w:r>
      <w:r w:rsidRPr="00352F4C">
        <w:rPr>
          <w:rFonts w:cstheme="minorHAnsi"/>
        </w:rPr>
        <w:t xml:space="preserve"> sexual or</w:t>
      </w:r>
      <w:r w:rsidR="00E12BB7" w:rsidRPr="00352F4C">
        <w:rPr>
          <w:rFonts w:cstheme="minorHAnsi"/>
        </w:rPr>
        <w:t xml:space="preserve">ientation or gender identity.  </w:t>
      </w:r>
      <w:r w:rsidRPr="00352F4C">
        <w:rPr>
          <w:rFonts w:cstheme="minorHAnsi"/>
        </w:rPr>
        <w:t xml:space="preserve">As a practical matter, it would often be impossible for such a </w:t>
      </w:r>
      <w:r w:rsidR="00F46A15">
        <w:rPr>
          <w:rFonts w:cstheme="minorHAnsi"/>
        </w:rPr>
        <w:t>survivor</w:t>
      </w:r>
      <w:r w:rsidRPr="00352F4C">
        <w:rPr>
          <w:rFonts w:cstheme="minorHAnsi"/>
        </w:rPr>
        <w:t xml:space="preserve"> to know the past history of </w:t>
      </w:r>
      <w:r w:rsidR="00F46A15">
        <w:rPr>
          <w:rFonts w:cstheme="minorHAnsi"/>
        </w:rPr>
        <w:t>their</w:t>
      </w:r>
      <w:r w:rsidRPr="00352F4C">
        <w:rPr>
          <w:rFonts w:cstheme="minorHAnsi"/>
        </w:rPr>
        <w:t xml:space="preserve"> persecutor, such that </w:t>
      </w:r>
      <w:r w:rsidR="00F46A15">
        <w:rPr>
          <w:rFonts w:cstheme="minorHAnsi"/>
        </w:rPr>
        <w:t>the applicant</w:t>
      </w:r>
      <w:r w:rsidRPr="00352F4C">
        <w:rPr>
          <w:rFonts w:cstheme="minorHAnsi"/>
        </w:rPr>
        <w:t xml:space="preserve"> could </w:t>
      </w:r>
      <w:r w:rsidR="00F46A15">
        <w:rPr>
          <w:rFonts w:cstheme="minorHAnsi"/>
        </w:rPr>
        <w:t>ever prove this requirement</w:t>
      </w:r>
      <w:r w:rsidRPr="00352F4C">
        <w:rPr>
          <w:rFonts w:cstheme="minorHAnsi"/>
        </w:rPr>
        <w:t xml:space="preserve">.  </w:t>
      </w:r>
    </w:p>
    <w:p w14:paraId="483A08C6" w14:textId="34EBAA60" w:rsidR="00E77384" w:rsidRPr="00352F4C" w:rsidRDefault="00CB2E16" w:rsidP="00E77384">
      <w:pPr>
        <w:pStyle w:val="BodyText"/>
        <w:rPr>
          <w:rFonts w:cstheme="minorHAnsi"/>
        </w:rPr>
      </w:pPr>
      <w:r w:rsidRPr="00352F4C">
        <w:rPr>
          <w:rFonts w:cstheme="minorHAnsi"/>
          <w:b/>
          <w:u w:val="single"/>
        </w:rPr>
        <w:t>Gender</w:t>
      </w:r>
      <w:r w:rsidR="00054F79" w:rsidRPr="00352F4C">
        <w:rPr>
          <w:rFonts w:cstheme="minorHAnsi"/>
        </w:rPr>
        <w:t xml:space="preserve">: </w:t>
      </w:r>
      <w:r w:rsidR="00714E48" w:rsidRPr="00352F4C">
        <w:rPr>
          <w:rFonts w:cstheme="minorHAnsi"/>
        </w:rPr>
        <w:t xml:space="preserve">The Proposed Rule’s </w:t>
      </w:r>
      <w:r w:rsidR="00387DDB" w:rsidRPr="00352F4C">
        <w:rPr>
          <w:rFonts w:cstheme="minorHAnsi"/>
        </w:rPr>
        <w:t>inclusion</w:t>
      </w:r>
      <w:r w:rsidR="000568CD" w:rsidRPr="00352F4C">
        <w:rPr>
          <w:rFonts w:cstheme="minorHAnsi"/>
        </w:rPr>
        <w:t xml:space="preserve"> of “gender” as a nexus</w:t>
      </w:r>
      <w:r w:rsidR="00714E48" w:rsidRPr="00352F4C">
        <w:rPr>
          <w:rFonts w:cstheme="minorHAnsi"/>
        </w:rPr>
        <w:t xml:space="preserve"> exclusion is particularly troubling.  </w:t>
      </w:r>
      <w:r w:rsidR="00387DDB" w:rsidRPr="00352F4C">
        <w:rPr>
          <w:rFonts w:cstheme="minorHAnsi"/>
        </w:rPr>
        <w:t xml:space="preserve">Proposed Rule § 208.1(f)(1)(viii); Notice at </w:t>
      </w:r>
      <w:r w:rsidR="00E11DAA" w:rsidRPr="00352F4C">
        <w:rPr>
          <w:rFonts w:cstheme="minorHAnsi"/>
        </w:rPr>
        <w:t>64–65</w:t>
      </w:r>
      <w:r w:rsidR="00387DDB" w:rsidRPr="00352F4C">
        <w:rPr>
          <w:rFonts w:cstheme="minorHAnsi"/>
        </w:rPr>
        <w:t xml:space="preserve">.  </w:t>
      </w:r>
      <w:r w:rsidR="000568CD" w:rsidRPr="00352F4C">
        <w:rPr>
          <w:rFonts w:cstheme="minorHAnsi"/>
        </w:rPr>
        <w:t xml:space="preserve">Gender </w:t>
      </w:r>
      <w:r w:rsidR="00F92BF2" w:rsidRPr="00352F4C">
        <w:rPr>
          <w:rFonts w:cstheme="minorHAnsi"/>
        </w:rPr>
        <w:t xml:space="preserve">clearly meets the </w:t>
      </w:r>
      <w:r w:rsidRPr="00352F4C">
        <w:rPr>
          <w:rFonts w:cstheme="minorHAnsi"/>
        </w:rPr>
        <w:t xml:space="preserve">elements </w:t>
      </w:r>
      <w:r w:rsidR="00CC5FF7" w:rsidRPr="00352F4C">
        <w:rPr>
          <w:rFonts w:cstheme="minorHAnsi"/>
        </w:rPr>
        <w:t xml:space="preserve">of a PSG </w:t>
      </w:r>
      <w:r w:rsidRPr="00352F4C">
        <w:rPr>
          <w:rFonts w:cstheme="minorHAnsi"/>
        </w:rPr>
        <w:t xml:space="preserve">under the </w:t>
      </w:r>
      <w:r w:rsidR="008319BE" w:rsidRPr="00352F4C">
        <w:rPr>
          <w:rFonts w:cstheme="minorHAnsi"/>
        </w:rPr>
        <w:t>standards</w:t>
      </w:r>
      <w:r w:rsidRPr="00352F4C">
        <w:rPr>
          <w:rFonts w:cstheme="minorHAnsi"/>
        </w:rPr>
        <w:t xml:space="preserve"> </w:t>
      </w:r>
      <w:r w:rsidR="004368B2" w:rsidRPr="00352F4C">
        <w:rPr>
          <w:rFonts w:cstheme="minorHAnsi"/>
        </w:rPr>
        <w:t xml:space="preserve">of immutability, particularly, and social distinction </w:t>
      </w:r>
      <w:r w:rsidRPr="00352F4C">
        <w:rPr>
          <w:rFonts w:cstheme="minorHAnsi"/>
        </w:rPr>
        <w:t xml:space="preserve">accepted by </w:t>
      </w:r>
      <w:r w:rsidR="008319BE" w:rsidRPr="00352F4C">
        <w:rPr>
          <w:rFonts w:cstheme="minorHAnsi"/>
        </w:rPr>
        <w:t xml:space="preserve">the </w:t>
      </w:r>
      <w:r w:rsidRPr="00352F4C">
        <w:rPr>
          <w:rFonts w:cstheme="minorHAnsi"/>
        </w:rPr>
        <w:t xml:space="preserve">courts and </w:t>
      </w:r>
      <w:r w:rsidR="008319BE" w:rsidRPr="00352F4C">
        <w:rPr>
          <w:rFonts w:cstheme="minorHAnsi"/>
        </w:rPr>
        <w:t xml:space="preserve">as </w:t>
      </w:r>
      <w:r w:rsidRPr="00352F4C">
        <w:rPr>
          <w:rFonts w:cstheme="minorHAnsi"/>
        </w:rPr>
        <w:t xml:space="preserve">codified under the new </w:t>
      </w:r>
      <w:r w:rsidR="00714E48" w:rsidRPr="00352F4C">
        <w:rPr>
          <w:rFonts w:cstheme="minorHAnsi"/>
        </w:rPr>
        <w:t>Proposed Rule</w:t>
      </w:r>
      <w:r w:rsidR="00FA4C51" w:rsidRPr="00352F4C">
        <w:rPr>
          <w:rFonts w:cstheme="minorHAnsi"/>
        </w:rPr>
        <w:t>.</w:t>
      </w:r>
      <w:r w:rsidRPr="00352F4C">
        <w:rPr>
          <w:rFonts w:cstheme="minorHAnsi"/>
        </w:rPr>
        <w:t xml:space="preserve">  </w:t>
      </w:r>
      <w:r w:rsidR="00DD2AF9" w:rsidRPr="00352F4C">
        <w:rPr>
          <w:rFonts w:cstheme="minorHAnsi"/>
        </w:rPr>
        <w:t xml:space="preserve">Moreover, while the Proposed Rule </w:t>
      </w:r>
      <w:r w:rsidR="00CC5FF7" w:rsidRPr="00352F4C">
        <w:rPr>
          <w:rFonts w:cstheme="minorHAnsi"/>
        </w:rPr>
        <w:t xml:space="preserve">certainly </w:t>
      </w:r>
      <w:r w:rsidR="00DD2AF9" w:rsidRPr="00352F4C">
        <w:rPr>
          <w:rFonts w:cstheme="minorHAnsi"/>
        </w:rPr>
        <w:t xml:space="preserve">does not </w:t>
      </w:r>
      <w:r w:rsidR="00CC5FF7" w:rsidRPr="00352F4C">
        <w:rPr>
          <w:rFonts w:cstheme="minorHAnsi"/>
        </w:rPr>
        <w:t>deny</w:t>
      </w:r>
      <w:r w:rsidR="00DD2AF9" w:rsidRPr="00352F4C">
        <w:rPr>
          <w:rFonts w:cstheme="minorHAnsi"/>
        </w:rPr>
        <w:t xml:space="preserve"> </w:t>
      </w:r>
      <w:r w:rsidR="00CC5FF7" w:rsidRPr="00352F4C">
        <w:rPr>
          <w:rFonts w:cstheme="minorHAnsi"/>
        </w:rPr>
        <w:t>that LGBTQ people constitute protected PSGs</w:t>
      </w:r>
      <w:r w:rsidR="00DD2AF9" w:rsidRPr="00352F4C">
        <w:rPr>
          <w:rFonts w:cstheme="minorHAnsi"/>
        </w:rPr>
        <w:t>,</w:t>
      </w:r>
      <w:r w:rsidR="00A40C95" w:rsidRPr="00352F4C">
        <w:rPr>
          <w:rFonts w:cstheme="minorHAnsi"/>
        </w:rPr>
        <w:t xml:space="preserve"> there is a </w:t>
      </w:r>
      <w:r w:rsidR="00CC5FF7" w:rsidRPr="00352F4C">
        <w:rPr>
          <w:rFonts w:cstheme="minorHAnsi"/>
        </w:rPr>
        <w:t xml:space="preserve">real </w:t>
      </w:r>
      <w:r w:rsidR="00A40C95" w:rsidRPr="00352F4C">
        <w:rPr>
          <w:rFonts w:cstheme="minorHAnsi"/>
        </w:rPr>
        <w:t xml:space="preserve">risk that adjudicators </w:t>
      </w:r>
      <w:r w:rsidR="00CC5FF7" w:rsidRPr="00352F4C">
        <w:rPr>
          <w:rFonts w:cstheme="minorHAnsi"/>
        </w:rPr>
        <w:t>will</w:t>
      </w:r>
      <w:r w:rsidR="00A40C95" w:rsidRPr="00352F4C">
        <w:rPr>
          <w:rFonts w:cstheme="minorHAnsi"/>
        </w:rPr>
        <w:t xml:space="preserve"> </w:t>
      </w:r>
      <w:r w:rsidR="00CC5FF7" w:rsidRPr="00352F4C">
        <w:rPr>
          <w:rFonts w:cstheme="minorHAnsi"/>
        </w:rPr>
        <w:t>mis</w:t>
      </w:r>
      <w:r w:rsidR="00A40C95" w:rsidRPr="00352F4C">
        <w:rPr>
          <w:rFonts w:cstheme="minorHAnsi"/>
        </w:rPr>
        <w:t xml:space="preserve">construe </w:t>
      </w:r>
      <w:r w:rsidR="00CC5FF7" w:rsidRPr="00352F4C">
        <w:rPr>
          <w:rFonts w:cstheme="minorHAnsi"/>
        </w:rPr>
        <w:t xml:space="preserve">the </w:t>
      </w:r>
      <w:r w:rsidR="006347D8">
        <w:rPr>
          <w:rFonts w:cstheme="minorHAnsi"/>
        </w:rPr>
        <w:t xml:space="preserve">gender bar </w:t>
      </w:r>
      <w:r w:rsidR="00CC5FF7" w:rsidRPr="00352F4C">
        <w:rPr>
          <w:rFonts w:cstheme="minorHAnsi"/>
        </w:rPr>
        <w:t xml:space="preserve">to </w:t>
      </w:r>
      <w:r w:rsidR="006347D8">
        <w:rPr>
          <w:rFonts w:cstheme="minorHAnsi"/>
        </w:rPr>
        <w:t>preclude</w:t>
      </w:r>
      <w:r w:rsidR="00A40C95" w:rsidRPr="00352F4C">
        <w:rPr>
          <w:rFonts w:cstheme="minorHAnsi"/>
        </w:rPr>
        <w:t xml:space="preserve"> gender identity and </w:t>
      </w:r>
      <w:r w:rsidR="00CC5FF7" w:rsidRPr="00352F4C">
        <w:rPr>
          <w:rFonts w:cstheme="minorHAnsi"/>
        </w:rPr>
        <w:t>s</w:t>
      </w:r>
      <w:r w:rsidR="00A40C95" w:rsidRPr="00352F4C">
        <w:rPr>
          <w:rFonts w:cstheme="minorHAnsi"/>
        </w:rPr>
        <w:t>exual orientation claims.</w:t>
      </w:r>
    </w:p>
    <w:p w14:paraId="64D0EF1A" w14:textId="520807E3" w:rsidR="00FC3E97" w:rsidRPr="00352F4C" w:rsidRDefault="00E77384" w:rsidP="008319BE">
      <w:pPr>
        <w:pStyle w:val="BodyText"/>
        <w:rPr>
          <w:rFonts w:cstheme="minorHAnsi"/>
        </w:rPr>
      </w:pPr>
      <w:r w:rsidRPr="00352F4C">
        <w:rPr>
          <w:rFonts w:cstheme="minorHAnsi"/>
        </w:rPr>
        <w:t xml:space="preserve">Such a result would be contrary to long established law and </w:t>
      </w:r>
      <w:r w:rsidR="008319BE" w:rsidRPr="00352F4C">
        <w:rPr>
          <w:rFonts w:cstheme="minorHAnsi"/>
        </w:rPr>
        <w:t>violate the</w:t>
      </w:r>
      <w:r w:rsidRPr="00352F4C">
        <w:rPr>
          <w:rFonts w:cstheme="minorHAnsi"/>
        </w:rPr>
        <w:t xml:space="preserve"> U.S.’s non-refoulment obligations. </w:t>
      </w:r>
      <w:r w:rsidR="008319BE" w:rsidRPr="00352F4C">
        <w:rPr>
          <w:rFonts w:cstheme="minorHAnsi"/>
        </w:rPr>
        <w:t xml:space="preserve"> The result would be devastating for LGBTQ refugees who, as discussed above, face </w:t>
      </w:r>
      <w:r w:rsidR="00F46A15">
        <w:rPr>
          <w:rFonts w:cstheme="minorHAnsi"/>
        </w:rPr>
        <w:t>severe</w:t>
      </w:r>
      <w:r w:rsidR="008319BE" w:rsidRPr="00352F4C">
        <w:rPr>
          <w:rFonts w:cstheme="minorHAnsi"/>
        </w:rPr>
        <w:t xml:space="preserve"> persecution around the world.</w:t>
      </w:r>
    </w:p>
    <w:p w14:paraId="4734FD06" w14:textId="2F1C03CC" w:rsidR="00982BE5" w:rsidRPr="00352F4C" w:rsidRDefault="008319BE" w:rsidP="001B037B">
      <w:pPr>
        <w:pStyle w:val="Heading2"/>
        <w:rPr>
          <w:rFonts w:cstheme="minorHAnsi"/>
        </w:rPr>
      </w:pPr>
      <w:r w:rsidRPr="00352F4C">
        <w:rPr>
          <w:rFonts w:cstheme="minorHAnsi"/>
        </w:rPr>
        <w:t>The Proposed Rule</w:t>
      </w:r>
      <w:r w:rsidR="00BF7D85" w:rsidRPr="00352F4C">
        <w:rPr>
          <w:rFonts w:cstheme="minorHAnsi"/>
        </w:rPr>
        <w:t xml:space="preserve"> </w:t>
      </w:r>
      <w:r w:rsidR="006347D8">
        <w:rPr>
          <w:rFonts w:cstheme="minorHAnsi"/>
        </w:rPr>
        <w:t>unlawfully r</w:t>
      </w:r>
      <w:r w:rsidR="00BF7D85" w:rsidRPr="00352F4C">
        <w:rPr>
          <w:rFonts w:cstheme="minorHAnsi"/>
        </w:rPr>
        <w:t xml:space="preserve">estricts LGBTQ/H </w:t>
      </w:r>
      <w:r w:rsidR="006347D8">
        <w:rPr>
          <w:rFonts w:cstheme="minorHAnsi"/>
        </w:rPr>
        <w:t>p</w:t>
      </w:r>
      <w:r w:rsidR="00BF7D85" w:rsidRPr="00352F4C">
        <w:rPr>
          <w:rFonts w:cstheme="minorHAnsi"/>
        </w:rPr>
        <w:t xml:space="preserve">olitical </w:t>
      </w:r>
      <w:r w:rsidR="006347D8">
        <w:rPr>
          <w:rFonts w:cstheme="minorHAnsi"/>
        </w:rPr>
        <w:t>o</w:t>
      </w:r>
      <w:r w:rsidR="00BF7D85" w:rsidRPr="00352F4C">
        <w:rPr>
          <w:rFonts w:cstheme="minorHAnsi"/>
        </w:rPr>
        <w:t xml:space="preserve">pinion </w:t>
      </w:r>
      <w:r w:rsidR="006347D8">
        <w:rPr>
          <w:rFonts w:cstheme="minorHAnsi"/>
        </w:rPr>
        <w:t>c</w:t>
      </w:r>
      <w:r w:rsidR="00BF7D85" w:rsidRPr="00352F4C">
        <w:rPr>
          <w:rFonts w:cstheme="minorHAnsi"/>
        </w:rPr>
        <w:t>laims</w:t>
      </w:r>
      <w:r w:rsidR="00C16E21" w:rsidRPr="00352F4C">
        <w:rPr>
          <w:rFonts w:cstheme="minorHAnsi"/>
        </w:rPr>
        <w:t>.</w:t>
      </w:r>
    </w:p>
    <w:p w14:paraId="56DB9DA1" w14:textId="49F7BA38" w:rsidR="00F64209" w:rsidRPr="00352F4C" w:rsidRDefault="00CB2E16" w:rsidP="00F64209">
      <w:pPr>
        <w:pStyle w:val="BodyText"/>
        <w:rPr>
          <w:rFonts w:cstheme="minorHAnsi"/>
        </w:rPr>
      </w:pPr>
      <w:r w:rsidRPr="00352F4C">
        <w:rPr>
          <w:rFonts w:cstheme="minorHAnsi"/>
        </w:rPr>
        <w:t>The Proposed Rule unduly narrows the scope of cognizable “political opinion”</w:t>
      </w:r>
      <w:r w:rsidR="00701A89" w:rsidRPr="00352F4C">
        <w:rPr>
          <w:rFonts w:cstheme="minorHAnsi"/>
        </w:rPr>
        <w:t xml:space="preserve"> in a way that is inconsistent with existing law.  The Proposed Rule would limit political opinions</w:t>
      </w:r>
      <w:r w:rsidRPr="00352F4C">
        <w:rPr>
          <w:rFonts w:cstheme="minorHAnsi"/>
        </w:rPr>
        <w:t xml:space="preserve"> to </w:t>
      </w:r>
      <w:r w:rsidR="00135B1A" w:rsidRPr="00352F4C">
        <w:rPr>
          <w:rFonts w:cstheme="minorHAnsi"/>
        </w:rPr>
        <w:t xml:space="preserve">ideals or convictions in support of a “discrete cause related to </w:t>
      </w:r>
      <w:r w:rsidRPr="00352F4C">
        <w:rPr>
          <w:rFonts w:cstheme="minorHAnsi"/>
        </w:rPr>
        <w:t xml:space="preserve">political control” of a state or unit thereof.  </w:t>
      </w:r>
      <w:r w:rsidR="00561CCB" w:rsidRPr="00352F4C">
        <w:rPr>
          <w:rFonts w:cstheme="minorHAnsi"/>
        </w:rPr>
        <w:t xml:space="preserve">Notice at </w:t>
      </w:r>
      <w:r w:rsidR="00E11DAA" w:rsidRPr="00352F4C">
        <w:rPr>
          <w:rFonts w:cstheme="minorHAnsi"/>
        </w:rPr>
        <w:t>58</w:t>
      </w:r>
      <w:r w:rsidR="00135B1A" w:rsidRPr="00352F4C">
        <w:rPr>
          <w:rFonts w:cstheme="minorHAnsi"/>
        </w:rPr>
        <w:t xml:space="preserve">; Proposed Rule </w:t>
      </w:r>
      <w:r w:rsidR="00561CCB" w:rsidRPr="00352F4C">
        <w:rPr>
          <w:rFonts w:cstheme="minorHAnsi"/>
        </w:rPr>
        <w:t>208.1(d), 1208.1(d).</w:t>
      </w:r>
      <w:r w:rsidR="00D46979" w:rsidRPr="00352F4C">
        <w:rPr>
          <w:rFonts w:cstheme="minorHAnsi"/>
        </w:rPr>
        <w:t xml:space="preserve">  </w:t>
      </w:r>
      <w:r w:rsidR="00A40C95" w:rsidRPr="00352F4C">
        <w:rPr>
          <w:rFonts w:cstheme="minorHAnsi"/>
        </w:rPr>
        <w:t xml:space="preserve">The Proposed Rule further explicitly rejects the notion that an asylum seeker’s expression of opposition to terrorist or gang organizations can qualify as a political opinion, unless the asylum </w:t>
      </w:r>
      <w:proofErr w:type="spellStart"/>
      <w:r w:rsidR="00A40C95" w:rsidRPr="00352F4C">
        <w:rPr>
          <w:rFonts w:cstheme="minorHAnsi"/>
        </w:rPr>
        <w:t>seeker’s</w:t>
      </w:r>
      <w:proofErr w:type="spellEnd"/>
      <w:r w:rsidR="00A40C95" w:rsidRPr="00352F4C">
        <w:rPr>
          <w:rFonts w:cstheme="minorHAnsi"/>
        </w:rPr>
        <w:t xml:space="preserve"> “expressive behavior” is “related to efforts by the state to control such organizations </w:t>
      </w:r>
      <w:r w:rsidR="00A40C95" w:rsidRPr="00352F4C">
        <w:rPr>
          <w:rFonts w:cstheme="minorHAnsi"/>
          <w:color w:val="000000" w:themeColor="text1"/>
        </w:rPr>
        <w:t>or behavior that is antithetical to or otherwise opposes the ruling legal entity of the state or a legal sub-unit of the state</w:t>
      </w:r>
      <w:r w:rsidR="00A40C95" w:rsidRPr="00352F4C">
        <w:rPr>
          <w:rFonts w:cstheme="minorHAnsi"/>
        </w:rPr>
        <w:t xml:space="preserve">.” </w:t>
      </w:r>
    </w:p>
    <w:p w14:paraId="1DA6E840" w14:textId="5D03EEE7" w:rsidR="00145896" w:rsidRPr="00352F4C" w:rsidRDefault="00145896" w:rsidP="0010653C">
      <w:pPr>
        <w:pStyle w:val="BodyText"/>
        <w:rPr>
          <w:rFonts w:cstheme="minorHAnsi"/>
        </w:rPr>
      </w:pPr>
      <w:r w:rsidRPr="00352F4C">
        <w:rPr>
          <w:rFonts w:cstheme="minorHAnsi"/>
        </w:rPr>
        <w:t xml:space="preserve">Applying this same reasoning </w:t>
      </w:r>
      <w:r w:rsidR="00A40C95" w:rsidRPr="00352F4C">
        <w:rPr>
          <w:rFonts w:cstheme="minorHAnsi"/>
        </w:rPr>
        <w:t>to LGBTQ/H a</w:t>
      </w:r>
      <w:r w:rsidRPr="00352F4C">
        <w:rPr>
          <w:rFonts w:cstheme="minorHAnsi"/>
        </w:rPr>
        <w:t xml:space="preserve">sylum seekers, the Proposed Rule could ostensibly eliminate all political opinion claims.  Such a result </w:t>
      </w:r>
      <w:r w:rsidR="00F46A15">
        <w:rPr>
          <w:rFonts w:cstheme="minorHAnsi"/>
        </w:rPr>
        <w:t xml:space="preserve">is not supported by the statute and </w:t>
      </w:r>
      <w:r w:rsidRPr="00352F4C">
        <w:rPr>
          <w:rFonts w:cstheme="minorHAnsi"/>
        </w:rPr>
        <w:t xml:space="preserve">ignores decades of precedent, which does not </w:t>
      </w:r>
      <w:r w:rsidR="00BF7D85" w:rsidRPr="00352F4C">
        <w:rPr>
          <w:rFonts w:cstheme="minorHAnsi"/>
        </w:rPr>
        <w:t>limit</w:t>
      </w:r>
      <w:r w:rsidRPr="00352F4C">
        <w:rPr>
          <w:rFonts w:cstheme="minorHAnsi"/>
        </w:rPr>
        <w:t xml:space="preserve"> the scope of cognizable political opinions.  </w:t>
      </w:r>
      <w:r w:rsidRPr="00352F4C">
        <w:rPr>
          <w:rFonts w:cstheme="minorHAnsi"/>
          <w:i/>
        </w:rPr>
        <w:t>See</w:t>
      </w:r>
      <w:r w:rsidRPr="00352F4C">
        <w:rPr>
          <w:rFonts w:cstheme="minorHAnsi"/>
        </w:rPr>
        <w:t xml:space="preserve"> </w:t>
      </w:r>
      <w:proofErr w:type="spellStart"/>
      <w:r w:rsidRPr="00352F4C">
        <w:rPr>
          <w:rFonts w:cstheme="minorHAnsi"/>
          <w:i/>
        </w:rPr>
        <w:t>Manzur</w:t>
      </w:r>
      <w:proofErr w:type="spellEnd"/>
      <w:r w:rsidRPr="00352F4C">
        <w:rPr>
          <w:rFonts w:cstheme="minorHAnsi"/>
          <w:i/>
        </w:rPr>
        <w:t xml:space="preserve"> v. U.S. Dep’t of Homeland Sec.</w:t>
      </w:r>
      <w:r w:rsidRPr="00352F4C">
        <w:rPr>
          <w:rFonts w:cstheme="minorHAnsi"/>
        </w:rPr>
        <w:t xml:space="preserve">, 494 F.3d 281, 294 (2d Cir. 2007) (“This Court has rejected an ‘impoverished view of what political opinions </w:t>
      </w:r>
      <w:proofErr w:type="gramStart"/>
      <w:r w:rsidRPr="00352F4C">
        <w:rPr>
          <w:rFonts w:cstheme="minorHAnsi"/>
        </w:rPr>
        <w:t>are[</w:t>
      </w:r>
      <w:proofErr w:type="gramEnd"/>
      <w:r w:rsidRPr="00352F4C">
        <w:rPr>
          <w:rFonts w:cstheme="minorHAnsi"/>
        </w:rPr>
        <w:t xml:space="preserve">].”) (citations omitted). </w:t>
      </w:r>
      <w:r w:rsidR="00CB2E16" w:rsidRPr="00352F4C">
        <w:rPr>
          <w:rFonts w:cstheme="minorHAnsi"/>
        </w:rPr>
        <w:t xml:space="preserve">  </w:t>
      </w:r>
    </w:p>
    <w:p w14:paraId="6E01136B" w14:textId="04A7E2C2" w:rsidR="00C07BFC" w:rsidRPr="00352F4C" w:rsidRDefault="00CB2E16" w:rsidP="0010653C">
      <w:pPr>
        <w:pStyle w:val="BodyText"/>
        <w:rPr>
          <w:rFonts w:cstheme="minorHAnsi"/>
        </w:rPr>
      </w:pPr>
      <w:r w:rsidRPr="00352F4C">
        <w:rPr>
          <w:rFonts w:cstheme="minorHAnsi"/>
        </w:rPr>
        <w:t xml:space="preserve">As mentioned above, being openly LGBTQ is a criminal offense in </w:t>
      </w:r>
      <w:r w:rsidR="006D4630">
        <w:rPr>
          <w:rFonts w:cstheme="minorHAnsi"/>
        </w:rPr>
        <w:t>approximately</w:t>
      </w:r>
      <w:r w:rsidRPr="00352F4C">
        <w:rPr>
          <w:rFonts w:cstheme="minorHAnsi"/>
        </w:rPr>
        <w:t xml:space="preserve"> 70 countries.  It is fundamentally unsafe in many more.  Some countries impose the death penalty </w:t>
      </w:r>
      <w:r w:rsidR="00BF7D85" w:rsidRPr="00352F4C">
        <w:rPr>
          <w:rFonts w:cstheme="minorHAnsi"/>
        </w:rPr>
        <w:t>for engaging in same sex relationships</w:t>
      </w:r>
      <w:r w:rsidRPr="00352F4C">
        <w:rPr>
          <w:rFonts w:cstheme="minorHAnsi"/>
        </w:rPr>
        <w:t xml:space="preserve">.  </w:t>
      </w:r>
      <w:r w:rsidR="002E7F1D" w:rsidRPr="00352F4C">
        <w:rPr>
          <w:rFonts w:cstheme="minorHAnsi"/>
        </w:rPr>
        <w:t>T</w:t>
      </w:r>
      <w:r w:rsidRPr="00352F4C">
        <w:rPr>
          <w:rFonts w:cstheme="minorHAnsi"/>
        </w:rPr>
        <w:t xml:space="preserve">hese laws are unjust and inhumane.  Accordingly, </w:t>
      </w:r>
      <w:r w:rsidR="00F64209" w:rsidRPr="00352F4C">
        <w:rPr>
          <w:rFonts w:cstheme="minorHAnsi"/>
        </w:rPr>
        <w:t xml:space="preserve">the United Nations has recognized that </w:t>
      </w:r>
      <w:r w:rsidRPr="00352F4C">
        <w:rPr>
          <w:rFonts w:cstheme="minorHAnsi"/>
        </w:rPr>
        <w:t xml:space="preserve">living in defiance of an unjust or inhumane law </w:t>
      </w:r>
      <w:r w:rsidR="00F64209" w:rsidRPr="00352F4C">
        <w:rPr>
          <w:rFonts w:cstheme="minorHAnsi"/>
        </w:rPr>
        <w:t>can be</w:t>
      </w:r>
      <w:r w:rsidRPr="00352F4C">
        <w:rPr>
          <w:rFonts w:cstheme="minorHAnsi"/>
        </w:rPr>
        <w:t xml:space="preserve"> a political act</w:t>
      </w:r>
      <w:r w:rsidR="00F64209" w:rsidRPr="00352F4C">
        <w:rPr>
          <w:rFonts w:cstheme="minorHAnsi"/>
        </w:rPr>
        <w:t xml:space="preserve">, “particularly in countries where such non-conformity is viewed as challenging </w:t>
      </w:r>
      <w:r w:rsidR="00F64209" w:rsidRPr="00352F4C">
        <w:rPr>
          <w:rFonts w:cstheme="minorHAnsi"/>
        </w:rPr>
        <w:lastRenderedPageBreak/>
        <w:t>government policy or where it is perceived as threatening prevailing social norms and values</w:t>
      </w:r>
      <w:r w:rsidRPr="00352F4C">
        <w:rPr>
          <w:rFonts w:cstheme="minorHAnsi"/>
        </w:rPr>
        <w:t>.</w:t>
      </w:r>
      <w:r w:rsidR="00F64209" w:rsidRPr="00352F4C">
        <w:rPr>
          <w:rFonts w:cstheme="minorHAnsi"/>
        </w:rPr>
        <w:t>”</w:t>
      </w:r>
      <w:r w:rsidRPr="00352F4C">
        <w:rPr>
          <w:rStyle w:val="FootnoteReference"/>
          <w:rFonts w:cstheme="minorHAnsi"/>
        </w:rPr>
        <w:footnoteReference w:id="28"/>
      </w:r>
      <w:r w:rsidRPr="00352F4C">
        <w:rPr>
          <w:rFonts w:cstheme="minorHAnsi"/>
        </w:rPr>
        <w:t xml:space="preserve">  </w:t>
      </w:r>
      <w:r w:rsidR="00F64209" w:rsidRPr="00352F4C">
        <w:rPr>
          <w:rFonts w:cstheme="minorHAnsi"/>
        </w:rPr>
        <w:t>A</w:t>
      </w:r>
      <w:r w:rsidRPr="00352F4C">
        <w:rPr>
          <w:rFonts w:cstheme="minorHAnsi"/>
        </w:rPr>
        <w:t>ny persecution that a person in such a case experiences is on account of political opinion.</w:t>
      </w:r>
      <w:r w:rsidR="00F64209" w:rsidRPr="00352F4C">
        <w:rPr>
          <w:rFonts w:cstheme="minorHAnsi"/>
        </w:rPr>
        <w:t xml:space="preserve">  </w:t>
      </w:r>
      <w:r w:rsidR="00F64209" w:rsidRPr="00352F4C">
        <w:rPr>
          <w:rFonts w:cstheme="minorHAnsi"/>
          <w:i/>
        </w:rPr>
        <w:t>See</w:t>
      </w:r>
      <w:r w:rsidR="00F64209" w:rsidRPr="00352F4C">
        <w:rPr>
          <w:rFonts w:cstheme="minorHAnsi"/>
        </w:rPr>
        <w:t xml:space="preserve"> </w:t>
      </w:r>
      <w:proofErr w:type="spellStart"/>
      <w:r w:rsidR="00F64209" w:rsidRPr="00352F4C">
        <w:rPr>
          <w:rFonts w:cstheme="minorHAnsi"/>
          <w:i/>
        </w:rPr>
        <w:t>Pitcherskaia</w:t>
      </w:r>
      <w:proofErr w:type="spellEnd"/>
      <w:r w:rsidR="00F64209" w:rsidRPr="00352F4C">
        <w:rPr>
          <w:rFonts w:cstheme="minorHAnsi"/>
          <w:i/>
        </w:rPr>
        <w:t xml:space="preserve"> v. I.N.S.</w:t>
      </w:r>
      <w:r w:rsidR="00F64209" w:rsidRPr="00352F4C">
        <w:rPr>
          <w:rFonts w:cstheme="minorHAnsi"/>
        </w:rPr>
        <w:t>, 118 F.3d 641</w:t>
      </w:r>
      <w:r w:rsidR="007837BF" w:rsidRPr="00352F4C">
        <w:rPr>
          <w:rFonts w:cstheme="minorHAnsi"/>
        </w:rPr>
        <w:t>, 648</w:t>
      </w:r>
      <w:r w:rsidR="00F64209" w:rsidRPr="00352F4C">
        <w:rPr>
          <w:rFonts w:cstheme="minorHAnsi"/>
        </w:rPr>
        <w:t xml:space="preserve"> (9th Cir. 1997) (Russian lesbian woman underwent </w:t>
      </w:r>
      <w:r w:rsidR="006301EC" w:rsidRPr="00352F4C">
        <w:rPr>
          <w:rFonts w:cstheme="minorHAnsi"/>
        </w:rPr>
        <w:t xml:space="preserve">electroshock </w:t>
      </w:r>
      <w:r w:rsidR="00F64209" w:rsidRPr="00352F4C">
        <w:rPr>
          <w:rFonts w:cstheme="minorHAnsi"/>
        </w:rPr>
        <w:t>“therapy” as punishment for protesting against state mistreatment of LGBT people).</w:t>
      </w:r>
      <w:r w:rsidR="000B7F6F" w:rsidRPr="00352F4C">
        <w:rPr>
          <w:rFonts w:cstheme="minorHAnsi"/>
        </w:rPr>
        <w:t xml:space="preserve">  </w:t>
      </w:r>
    </w:p>
    <w:p w14:paraId="3A52D1E1" w14:textId="5D0BA2E6" w:rsidR="00D46979" w:rsidRPr="00352F4C" w:rsidRDefault="00CB2E16" w:rsidP="0010653C">
      <w:pPr>
        <w:pStyle w:val="BodyText"/>
        <w:rPr>
          <w:rFonts w:cstheme="minorHAnsi"/>
        </w:rPr>
      </w:pPr>
      <w:r w:rsidRPr="00352F4C">
        <w:rPr>
          <w:rFonts w:cstheme="minorHAnsi"/>
        </w:rPr>
        <w:t xml:space="preserve">Yet under the Proposed Rule, an </w:t>
      </w:r>
      <w:r w:rsidR="004D2A3D" w:rsidRPr="00352F4C">
        <w:rPr>
          <w:rFonts w:cstheme="minorHAnsi"/>
        </w:rPr>
        <w:t>adjudicator</w:t>
      </w:r>
      <w:r w:rsidRPr="00352F4C">
        <w:rPr>
          <w:rFonts w:cstheme="minorHAnsi"/>
        </w:rPr>
        <w:t xml:space="preserve"> may conclude that a</w:t>
      </w:r>
      <w:r w:rsidR="009F3953">
        <w:rPr>
          <w:rFonts w:cstheme="minorHAnsi"/>
        </w:rPr>
        <w:t xml:space="preserve"> refugee </w:t>
      </w:r>
      <w:r w:rsidRPr="00352F4C">
        <w:rPr>
          <w:rFonts w:cstheme="minorHAnsi"/>
        </w:rPr>
        <w:t>defying a</w:t>
      </w:r>
      <w:r w:rsidR="000E7E4C">
        <w:rPr>
          <w:rFonts w:cstheme="minorHAnsi"/>
        </w:rPr>
        <w:t>n anti LGBTQ</w:t>
      </w:r>
      <w:r w:rsidRPr="00352F4C">
        <w:rPr>
          <w:rFonts w:cstheme="minorHAnsi"/>
        </w:rPr>
        <w:t xml:space="preserve"> law by living openly is not a “discrete cause related to political control.”  </w:t>
      </w:r>
    </w:p>
    <w:p w14:paraId="164A6EB2" w14:textId="77777777" w:rsidR="00864A34" w:rsidRPr="00352F4C" w:rsidRDefault="00CB2E16" w:rsidP="00864A34">
      <w:pPr>
        <w:pStyle w:val="BodyText"/>
        <w:rPr>
          <w:rFonts w:cstheme="minorHAnsi"/>
          <w:b/>
        </w:rPr>
      </w:pPr>
      <w:r w:rsidRPr="00352F4C">
        <w:rPr>
          <w:rFonts w:cstheme="minorHAnsi"/>
          <w:b/>
          <w:highlight w:val="yellow"/>
        </w:rPr>
        <w:t xml:space="preserve"> [Add facts showing that living openly is seen as a political statement.]</w:t>
      </w:r>
    </w:p>
    <w:p w14:paraId="408560DB" w14:textId="2183B493" w:rsidR="009153A1" w:rsidRPr="00352F4C" w:rsidRDefault="00CB2E16" w:rsidP="0010653C">
      <w:pPr>
        <w:pStyle w:val="BodyText"/>
        <w:rPr>
          <w:rFonts w:cstheme="minorHAnsi"/>
        </w:rPr>
      </w:pPr>
      <w:r w:rsidRPr="00352F4C">
        <w:rPr>
          <w:rFonts w:cstheme="minorHAnsi"/>
        </w:rPr>
        <w:t xml:space="preserve">This would even extend to LGBTQ activism—conduct that is clearly understood as political in the United States. </w:t>
      </w:r>
      <w:r w:rsidR="00A702E5" w:rsidRPr="00352F4C">
        <w:rPr>
          <w:rFonts w:cstheme="minorHAnsi"/>
        </w:rPr>
        <w:t xml:space="preserve"> </w:t>
      </w:r>
      <w:r w:rsidR="00D46979" w:rsidRPr="00352F4C">
        <w:rPr>
          <w:rFonts w:cstheme="minorHAnsi"/>
        </w:rPr>
        <w:t xml:space="preserve">Should an adjudicator find such activity is only “generalized disapproval” of </w:t>
      </w:r>
      <w:r w:rsidR="009828C5" w:rsidRPr="00352F4C">
        <w:rPr>
          <w:rFonts w:cstheme="minorHAnsi"/>
        </w:rPr>
        <w:t>LGBTQ people</w:t>
      </w:r>
      <w:r w:rsidR="00D46979" w:rsidRPr="00352F4C">
        <w:rPr>
          <w:rFonts w:cstheme="minorHAnsi"/>
        </w:rPr>
        <w:t xml:space="preserve">, the </w:t>
      </w:r>
      <w:r w:rsidR="004D2A3D" w:rsidRPr="00352F4C">
        <w:rPr>
          <w:rFonts w:cstheme="minorHAnsi"/>
        </w:rPr>
        <w:t>applicants would be unable to show that their “expressive behavior” is “related to efforts by the state to control” a n</w:t>
      </w:r>
      <w:r w:rsidR="000B7F6F" w:rsidRPr="00352F4C">
        <w:rPr>
          <w:rFonts w:cstheme="minorHAnsi"/>
        </w:rPr>
        <w:t>on-governmental organization.</w:t>
      </w:r>
      <w:r w:rsidRPr="00352F4C">
        <w:rPr>
          <w:rStyle w:val="FootnoteReference"/>
          <w:rFonts w:cstheme="minorHAnsi"/>
        </w:rPr>
        <w:footnoteReference w:id="29"/>
      </w:r>
      <w:r w:rsidR="000B7F6F" w:rsidRPr="00352F4C">
        <w:rPr>
          <w:rFonts w:cstheme="minorHAnsi"/>
        </w:rPr>
        <w:t xml:space="preserve">  </w:t>
      </w:r>
      <w:r w:rsidR="00652FBE" w:rsidRPr="00352F4C">
        <w:rPr>
          <w:rFonts w:cstheme="minorHAnsi"/>
        </w:rPr>
        <w:t xml:space="preserve">The confusing reference to “culture” could result in adjudicators conflating concepts and failing to recognize LGBTQ </w:t>
      </w:r>
      <w:r w:rsidR="000B7F6F" w:rsidRPr="00352F4C">
        <w:rPr>
          <w:rFonts w:cstheme="minorHAnsi"/>
        </w:rPr>
        <w:t>activism</w:t>
      </w:r>
      <w:r w:rsidR="00652FBE" w:rsidRPr="00352F4C">
        <w:rPr>
          <w:rFonts w:cstheme="minorHAnsi"/>
        </w:rPr>
        <w:t xml:space="preserve"> as political speech.  </w:t>
      </w:r>
    </w:p>
    <w:p w14:paraId="57E18241" w14:textId="77777777" w:rsidR="00864A34" w:rsidRPr="00352F4C" w:rsidRDefault="00CB2E16" w:rsidP="0010653C">
      <w:pPr>
        <w:pStyle w:val="BodyText"/>
        <w:rPr>
          <w:rFonts w:cstheme="minorHAnsi"/>
          <w:b/>
        </w:rPr>
      </w:pPr>
      <w:r w:rsidRPr="00352F4C">
        <w:rPr>
          <w:rFonts w:cstheme="minorHAnsi"/>
          <w:b/>
          <w:highlight w:val="yellow"/>
        </w:rPr>
        <w:t>[Add facts showing that LGBTQ activism is seen as political speech.]</w:t>
      </w:r>
    </w:p>
    <w:p w14:paraId="014EE982" w14:textId="5D2211E2" w:rsidR="00C07BFC" w:rsidRPr="00352F4C" w:rsidRDefault="00CB2E16" w:rsidP="0010653C">
      <w:pPr>
        <w:pStyle w:val="BodyText"/>
        <w:rPr>
          <w:rFonts w:cstheme="minorHAnsi"/>
        </w:rPr>
      </w:pPr>
      <w:r w:rsidRPr="00352F4C">
        <w:rPr>
          <w:rFonts w:cstheme="minorHAnsi"/>
        </w:rPr>
        <w:t>The result</w:t>
      </w:r>
      <w:r w:rsidR="009F708B" w:rsidRPr="00352F4C">
        <w:rPr>
          <w:rFonts w:cstheme="minorHAnsi"/>
        </w:rPr>
        <w:t xml:space="preserve"> is</w:t>
      </w:r>
      <w:r w:rsidRPr="00352F4C">
        <w:rPr>
          <w:rFonts w:cstheme="minorHAnsi"/>
        </w:rPr>
        <w:t xml:space="preserve"> that individuals who are attacked for their defiant conduct of living openly, or </w:t>
      </w:r>
      <w:r w:rsidR="009828C5" w:rsidRPr="00352F4C">
        <w:rPr>
          <w:rFonts w:cstheme="minorHAnsi"/>
        </w:rPr>
        <w:t xml:space="preserve">who are </w:t>
      </w:r>
      <w:r w:rsidRPr="00352F4C">
        <w:rPr>
          <w:rFonts w:cstheme="minorHAnsi"/>
        </w:rPr>
        <w:t xml:space="preserve">activists </w:t>
      </w:r>
      <w:r w:rsidR="009828C5" w:rsidRPr="00352F4C">
        <w:rPr>
          <w:rFonts w:cstheme="minorHAnsi"/>
        </w:rPr>
        <w:t xml:space="preserve">who are </w:t>
      </w:r>
      <w:r w:rsidR="009F3953">
        <w:rPr>
          <w:rFonts w:cstheme="minorHAnsi"/>
        </w:rPr>
        <w:t>persecuted</w:t>
      </w:r>
      <w:r w:rsidR="009F708B" w:rsidRPr="00352F4C">
        <w:rPr>
          <w:rFonts w:cstheme="minorHAnsi"/>
        </w:rPr>
        <w:t xml:space="preserve"> for publicly</w:t>
      </w:r>
      <w:r w:rsidRPr="00352F4C">
        <w:rPr>
          <w:rFonts w:cstheme="minorHAnsi"/>
        </w:rPr>
        <w:t xml:space="preserve"> </w:t>
      </w:r>
      <w:r w:rsidR="009F708B" w:rsidRPr="00352F4C">
        <w:rPr>
          <w:rFonts w:cstheme="minorHAnsi"/>
        </w:rPr>
        <w:t>marching</w:t>
      </w:r>
      <w:r w:rsidRPr="00352F4C">
        <w:rPr>
          <w:rFonts w:cstheme="minorHAnsi"/>
        </w:rPr>
        <w:t xml:space="preserve"> for LGBTQ rights</w:t>
      </w:r>
      <w:r w:rsidR="009828C5" w:rsidRPr="00352F4C">
        <w:rPr>
          <w:rFonts w:cstheme="minorHAnsi"/>
        </w:rPr>
        <w:t>,</w:t>
      </w:r>
      <w:r w:rsidRPr="00352F4C">
        <w:rPr>
          <w:rFonts w:cstheme="minorHAnsi"/>
        </w:rPr>
        <w:t xml:space="preserve"> would not be consider</w:t>
      </w:r>
      <w:r w:rsidR="009F708B" w:rsidRPr="00352F4C">
        <w:rPr>
          <w:rFonts w:cstheme="minorHAnsi"/>
        </w:rPr>
        <w:t>ed to have a political opinion</w:t>
      </w:r>
      <w:r w:rsidR="00F32393" w:rsidRPr="00352F4C">
        <w:rPr>
          <w:rFonts w:cstheme="minorHAnsi"/>
        </w:rPr>
        <w:t xml:space="preserve"> and would be denied relief on this ground</w:t>
      </w:r>
      <w:r w:rsidR="009F708B" w:rsidRPr="00352F4C">
        <w:rPr>
          <w:rFonts w:cstheme="minorHAnsi"/>
        </w:rPr>
        <w:t xml:space="preserve">.  </w:t>
      </w:r>
    </w:p>
    <w:p w14:paraId="4B60D74C" w14:textId="6913EA5F" w:rsidR="00A3342F" w:rsidRPr="00E65D01" w:rsidRDefault="00C16E21" w:rsidP="001B037B">
      <w:pPr>
        <w:pStyle w:val="Heading2"/>
        <w:rPr>
          <w:rFonts w:cstheme="minorHAnsi"/>
        </w:rPr>
      </w:pPr>
      <w:r w:rsidRPr="00E65D01">
        <w:rPr>
          <w:rFonts w:cstheme="minorHAnsi"/>
        </w:rPr>
        <w:t xml:space="preserve">The Proposed Rule </w:t>
      </w:r>
      <w:r w:rsidR="006D4630">
        <w:rPr>
          <w:rFonts w:cstheme="minorHAnsi"/>
        </w:rPr>
        <w:t>h</w:t>
      </w:r>
      <w:r w:rsidR="00C923B6" w:rsidRPr="00E65D01">
        <w:rPr>
          <w:rFonts w:cstheme="minorHAnsi"/>
        </w:rPr>
        <w:t>eightens</w:t>
      </w:r>
      <w:r w:rsidR="00F32393" w:rsidRPr="00E65D01">
        <w:rPr>
          <w:rFonts w:cstheme="minorHAnsi"/>
        </w:rPr>
        <w:t xml:space="preserve"> the </w:t>
      </w:r>
      <w:r w:rsidR="006D4630">
        <w:rPr>
          <w:rFonts w:cstheme="minorHAnsi"/>
        </w:rPr>
        <w:t>p</w:t>
      </w:r>
      <w:r w:rsidR="00A702E5" w:rsidRPr="00E65D01">
        <w:rPr>
          <w:rFonts w:cstheme="minorHAnsi"/>
        </w:rPr>
        <w:t xml:space="preserve">ersecution </w:t>
      </w:r>
      <w:r w:rsidR="006D4630">
        <w:rPr>
          <w:rFonts w:cstheme="minorHAnsi"/>
        </w:rPr>
        <w:t>s</w:t>
      </w:r>
      <w:r w:rsidR="00F32393" w:rsidRPr="00E65D01">
        <w:rPr>
          <w:rFonts w:cstheme="minorHAnsi"/>
        </w:rPr>
        <w:t>tandard</w:t>
      </w:r>
      <w:r w:rsidR="00C83F78" w:rsidRPr="00E65D01">
        <w:rPr>
          <w:rFonts w:cstheme="minorHAnsi"/>
        </w:rPr>
        <w:t xml:space="preserve"> </w:t>
      </w:r>
      <w:r w:rsidR="006D4630">
        <w:rPr>
          <w:rFonts w:cstheme="minorHAnsi"/>
        </w:rPr>
        <w:t>i</w:t>
      </w:r>
      <w:r w:rsidR="00A60276" w:rsidRPr="00E65D01">
        <w:rPr>
          <w:rFonts w:cstheme="minorHAnsi"/>
        </w:rPr>
        <w:t xml:space="preserve">gnoring the </w:t>
      </w:r>
      <w:r w:rsidR="006D4630">
        <w:rPr>
          <w:rFonts w:cstheme="minorHAnsi"/>
        </w:rPr>
        <w:t>w</w:t>
      </w:r>
      <w:r w:rsidR="00A60276" w:rsidRPr="00E65D01">
        <w:rPr>
          <w:rFonts w:cstheme="minorHAnsi"/>
        </w:rPr>
        <w:t xml:space="preserve">ays </w:t>
      </w:r>
      <w:r w:rsidR="006D4630">
        <w:rPr>
          <w:rFonts w:cstheme="minorHAnsi"/>
        </w:rPr>
        <w:t>m</w:t>
      </w:r>
      <w:r w:rsidR="00A60276" w:rsidRPr="00E65D01">
        <w:rPr>
          <w:rFonts w:cstheme="minorHAnsi"/>
        </w:rPr>
        <w:t xml:space="preserve">any LGBTQ/H </w:t>
      </w:r>
      <w:r w:rsidR="009F3953">
        <w:rPr>
          <w:rFonts w:cstheme="minorHAnsi"/>
        </w:rPr>
        <w:t>refugees</w:t>
      </w:r>
      <w:r w:rsidR="00A60276" w:rsidRPr="00E65D01">
        <w:rPr>
          <w:rFonts w:cstheme="minorHAnsi"/>
        </w:rPr>
        <w:t xml:space="preserve"> </w:t>
      </w:r>
      <w:r w:rsidR="006D4630">
        <w:rPr>
          <w:rFonts w:cstheme="minorHAnsi"/>
        </w:rPr>
        <w:t>a</w:t>
      </w:r>
      <w:r w:rsidR="00A60276" w:rsidRPr="00E65D01">
        <w:rPr>
          <w:rFonts w:cstheme="minorHAnsi"/>
        </w:rPr>
        <w:t xml:space="preserve">re </w:t>
      </w:r>
      <w:r w:rsidR="006D4630">
        <w:rPr>
          <w:rFonts w:cstheme="minorHAnsi"/>
        </w:rPr>
        <w:t>h</w:t>
      </w:r>
      <w:r w:rsidR="00A60276" w:rsidRPr="00E65D01">
        <w:rPr>
          <w:rFonts w:cstheme="minorHAnsi"/>
        </w:rPr>
        <w:t>armed</w:t>
      </w:r>
      <w:r w:rsidR="008449D1" w:rsidRPr="00E65D01">
        <w:rPr>
          <w:rFonts w:cstheme="minorHAnsi"/>
        </w:rPr>
        <w:t>.</w:t>
      </w:r>
    </w:p>
    <w:p w14:paraId="5D306BDB" w14:textId="259A0158" w:rsidR="00E40A81" w:rsidRPr="00E65D01" w:rsidRDefault="00CB2E16" w:rsidP="0010653C">
      <w:pPr>
        <w:pStyle w:val="BodyText"/>
        <w:rPr>
          <w:rFonts w:cstheme="minorHAnsi"/>
        </w:rPr>
      </w:pPr>
      <w:r w:rsidRPr="00E65D01">
        <w:rPr>
          <w:rFonts w:cstheme="minorHAnsi"/>
        </w:rPr>
        <w:t xml:space="preserve">Asylum law obligates </w:t>
      </w:r>
      <w:r w:rsidR="00367559" w:rsidRPr="00E65D01">
        <w:rPr>
          <w:rFonts w:cstheme="minorHAnsi"/>
        </w:rPr>
        <w:t xml:space="preserve">the </w:t>
      </w:r>
      <w:r w:rsidR="006D4630">
        <w:rPr>
          <w:rFonts w:cstheme="minorHAnsi"/>
        </w:rPr>
        <w:t>U.S.</w:t>
      </w:r>
      <w:r w:rsidRPr="00E65D01">
        <w:rPr>
          <w:rFonts w:cstheme="minorHAnsi"/>
        </w:rPr>
        <w:t xml:space="preserve"> to protect individuals with </w:t>
      </w:r>
      <w:r w:rsidR="00F32393" w:rsidRPr="00E65D01">
        <w:rPr>
          <w:rFonts w:cstheme="minorHAnsi"/>
        </w:rPr>
        <w:t xml:space="preserve">a </w:t>
      </w:r>
      <w:r w:rsidRPr="00E65D01">
        <w:rPr>
          <w:rFonts w:cstheme="minorHAnsi"/>
        </w:rPr>
        <w:t xml:space="preserve">well-founded fear of persecution from being returned to harm.  </w:t>
      </w:r>
      <w:r w:rsidR="00367559" w:rsidRPr="00E65D01">
        <w:rPr>
          <w:rFonts w:cstheme="minorHAnsi"/>
          <w:i/>
        </w:rPr>
        <w:t xml:space="preserve">See, e.g., </w:t>
      </w:r>
      <w:r w:rsidRPr="00E65D01">
        <w:rPr>
          <w:rFonts w:cstheme="minorHAnsi"/>
          <w:i/>
        </w:rPr>
        <w:t>I.N.S. v. Cardoza-Fonseca</w:t>
      </w:r>
      <w:r w:rsidR="00652FBE" w:rsidRPr="00E65D01">
        <w:rPr>
          <w:rFonts w:cstheme="minorHAnsi"/>
        </w:rPr>
        <w:t xml:space="preserve">, 480 U.S. 421, 428 (1987).  </w:t>
      </w:r>
      <w:r w:rsidRPr="00E65D01">
        <w:rPr>
          <w:rFonts w:cstheme="minorHAnsi"/>
        </w:rPr>
        <w:t>The Proposed Rule</w:t>
      </w:r>
      <w:r w:rsidR="00C83F78" w:rsidRPr="00E65D01">
        <w:rPr>
          <w:rFonts w:cstheme="minorHAnsi"/>
        </w:rPr>
        <w:t xml:space="preserve"> provides a regulatory definition of persecution that</w:t>
      </w:r>
      <w:r w:rsidRPr="00E65D01">
        <w:rPr>
          <w:rFonts w:cstheme="minorHAnsi"/>
        </w:rPr>
        <w:t xml:space="preserve"> imposes a heightened standard </w:t>
      </w:r>
      <w:r w:rsidR="00C83F78" w:rsidRPr="00E65D01">
        <w:rPr>
          <w:rFonts w:cstheme="minorHAnsi"/>
        </w:rPr>
        <w:t xml:space="preserve">requiring that the threats be “exigent” and </w:t>
      </w:r>
      <w:r w:rsidR="00367559" w:rsidRPr="00E65D01">
        <w:rPr>
          <w:rFonts w:cstheme="minorHAnsi"/>
        </w:rPr>
        <w:t xml:space="preserve">emphasizing that </w:t>
      </w:r>
      <w:r w:rsidR="00C83F78" w:rsidRPr="00E65D01">
        <w:rPr>
          <w:rFonts w:cstheme="minorHAnsi"/>
        </w:rPr>
        <w:t>the harm</w:t>
      </w:r>
      <w:r w:rsidR="00367559" w:rsidRPr="00E65D01">
        <w:rPr>
          <w:rFonts w:cstheme="minorHAnsi"/>
        </w:rPr>
        <w:t xml:space="preserve"> be</w:t>
      </w:r>
      <w:r w:rsidR="00C83F78" w:rsidRPr="00E65D01">
        <w:rPr>
          <w:rFonts w:cstheme="minorHAnsi"/>
        </w:rPr>
        <w:t xml:space="preserve"> </w:t>
      </w:r>
      <w:r w:rsidRPr="00E65D01">
        <w:rPr>
          <w:rFonts w:cstheme="minorHAnsi"/>
        </w:rPr>
        <w:t>“extrem</w:t>
      </w:r>
      <w:r w:rsidR="00C83F78" w:rsidRPr="00E65D01">
        <w:rPr>
          <w:rFonts w:cstheme="minorHAnsi"/>
        </w:rPr>
        <w:t xml:space="preserve">e.”  The </w:t>
      </w:r>
      <w:r w:rsidR="00AE3EE9" w:rsidRPr="00E65D01">
        <w:rPr>
          <w:rFonts w:cstheme="minorHAnsi"/>
        </w:rPr>
        <w:t xml:space="preserve">Proposed Rule </w:t>
      </w:r>
      <w:r w:rsidR="00C83F78" w:rsidRPr="00E65D01">
        <w:rPr>
          <w:rFonts w:cstheme="minorHAnsi"/>
        </w:rPr>
        <w:t>goes on to</w:t>
      </w:r>
      <w:r w:rsidRPr="00E65D01">
        <w:rPr>
          <w:rFonts w:cstheme="minorHAnsi"/>
        </w:rPr>
        <w:t xml:space="preserve"> </w:t>
      </w:r>
      <w:r w:rsidR="00367559" w:rsidRPr="00E65D01">
        <w:rPr>
          <w:rFonts w:cstheme="minorHAnsi"/>
        </w:rPr>
        <w:t xml:space="preserve">identify types of harm that would not generally </w:t>
      </w:r>
      <w:r w:rsidR="00A60276" w:rsidRPr="00E65D01">
        <w:rPr>
          <w:rFonts w:cstheme="minorHAnsi"/>
        </w:rPr>
        <w:t xml:space="preserve">not </w:t>
      </w:r>
      <w:r w:rsidR="00367559" w:rsidRPr="00E65D01">
        <w:rPr>
          <w:rFonts w:cstheme="minorHAnsi"/>
        </w:rPr>
        <w:t xml:space="preserve">constitute </w:t>
      </w:r>
      <w:r w:rsidRPr="00E65D01">
        <w:rPr>
          <w:rFonts w:cstheme="minorHAnsi"/>
        </w:rPr>
        <w:t>per</w:t>
      </w:r>
      <w:r w:rsidR="00216167" w:rsidRPr="00E65D01">
        <w:rPr>
          <w:rFonts w:cstheme="minorHAnsi"/>
        </w:rPr>
        <w:t>secution</w:t>
      </w:r>
      <w:r w:rsidR="00A60276" w:rsidRPr="00E65D01">
        <w:rPr>
          <w:rFonts w:cstheme="minorHAnsi"/>
        </w:rPr>
        <w:t xml:space="preserve">, including: </w:t>
      </w:r>
      <w:r w:rsidR="006D4630">
        <w:rPr>
          <w:rFonts w:cstheme="minorHAnsi"/>
        </w:rPr>
        <w:t>“</w:t>
      </w:r>
      <w:r w:rsidR="006D4630" w:rsidRPr="00E65D01">
        <w:rPr>
          <w:rFonts w:cstheme="minorHAnsi"/>
        </w:rPr>
        <w:t>repeated threats with no actions taken to carry out the threats</w:t>
      </w:r>
      <w:r w:rsidR="006D4630">
        <w:rPr>
          <w:rFonts w:cstheme="minorHAnsi"/>
        </w:rPr>
        <w:t>,</w:t>
      </w:r>
      <w:r w:rsidR="006D4630" w:rsidRPr="00E65D01">
        <w:rPr>
          <w:rFonts w:cstheme="minorHAnsi"/>
        </w:rPr>
        <w:t xml:space="preserve">” </w:t>
      </w:r>
      <w:r w:rsidR="00A60276" w:rsidRPr="00E65D01">
        <w:rPr>
          <w:rFonts w:cstheme="minorHAnsi"/>
        </w:rPr>
        <w:t>“intermittent harassment, including brief detentions</w:t>
      </w:r>
      <w:r w:rsidR="00115C49">
        <w:rPr>
          <w:rFonts w:cstheme="minorHAnsi"/>
        </w:rPr>
        <w:t>,</w:t>
      </w:r>
      <w:r w:rsidR="00A60276" w:rsidRPr="00E65D01">
        <w:rPr>
          <w:rFonts w:cstheme="minorHAnsi"/>
        </w:rPr>
        <w:t>” and “government laws or policies that are infrequently enforced, unless there is credible evidence that those laws or policies have been or would be applied to an applicant personally</w:t>
      </w:r>
      <w:r w:rsidR="00216167" w:rsidRPr="00E65D01">
        <w:rPr>
          <w:rFonts w:cstheme="minorHAnsi"/>
        </w:rPr>
        <w:t>.</w:t>
      </w:r>
      <w:r w:rsidR="00A60276" w:rsidRPr="00E65D01">
        <w:rPr>
          <w:rFonts w:cstheme="minorHAnsi"/>
        </w:rPr>
        <w:t>”</w:t>
      </w:r>
      <w:r w:rsidR="00216167" w:rsidRPr="00E65D01">
        <w:rPr>
          <w:rFonts w:cstheme="minorHAnsi"/>
        </w:rPr>
        <w:t xml:space="preserve"> </w:t>
      </w:r>
      <w:r w:rsidRPr="00E65D01">
        <w:rPr>
          <w:rFonts w:cstheme="minorHAnsi"/>
        </w:rPr>
        <w:t xml:space="preserve"> </w:t>
      </w:r>
      <w:r w:rsidR="00652FBE" w:rsidRPr="00E65D01">
        <w:rPr>
          <w:rFonts w:cstheme="minorHAnsi"/>
        </w:rPr>
        <w:t xml:space="preserve">Proposed Rule </w:t>
      </w:r>
      <w:r w:rsidR="009E6DAD" w:rsidRPr="00E65D01">
        <w:rPr>
          <w:rFonts w:cstheme="minorHAnsi"/>
        </w:rPr>
        <w:t>§§ 208.1(e),</w:t>
      </w:r>
      <w:r w:rsidR="00652FBE" w:rsidRPr="00E65D01">
        <w:rPr>
          <w:rFonts w:cstheme="minorHAnsi"/>
        </w:rPr>
        <w:t xml:space="preserve"> 1208.1(e).  </w:t>
      </w:r>
      <w:r w:rsidR="00E65D01" w:rsidRPr="00E65D01">
        <w:rPr>
          <w:rFonts w:cstheme="minorHAnsi"/>
        </w:rPr>
        <w:t xml:space="preserve">However, </w:t>
      </w:r>
      <w:r w:rsidRPr="00E65D01">
        <w:rPr>
          <w:rFonts w:cstheme="minorHAnsi"/>
        </w:rPr>
        <w:t xml:space="preserve">the Proposed Rule does not </w:t>
      </w:r>
      <w:r w:rsidRPr="00E65D01">
        <w:rPr>
          <w:rFonts w:cstheme="minorHAnsi"/>
          <w:i/>
        </w:rPr>
        <w:t>define</w:t>
      </w:r>
      <w:r w:rsidRPr="00E65D01">
        <w:rPr>
          <w:rFonts w:cstheme="minorHAnsi"/>
        </w:rPr>
        <w:t xml:space="preserve"> </w:t>
      </w:r>
      <w:r w:rsidR="00367559" w:rsidRPr="00E65D01">
        <w:rPr>
          <w:rFonts w:cstheme="minorHAnsi"/>
        </w:rPr>
        <w:t xml:space="preserve">“exigent” and </w:t>
      </w:r>
      <w:r w:rsidRPr="00E65D01">
        <w:rPr>
          <w:rFonts w:cstheme="minorHAnsi"/>
        </w:rPr>
        <w:t xml:space="preserve">“extreme,” </w:t>
      </w:r>
      <w:r w:rsidR="00367559" w:rsidRPr="00E65D01">
        <w:rPr>
          <w:rFonts w:cstheme="minorHAnsi"/>
        </w:rPr>
        <w:t xml:space="preserve">and does not address </w:t>
      </w:r>
      <w:r w:rsidR="00A60276" w:rsidRPr="00E65D01">
        <w:rPr>
          <w:rFonts w:cstheme="minorHAnsi"/>
        </w:rPr>
        <w:t>cumulative harm</w:t>
      </w:r>
      <w:r w:rsidR="006B6BFF">
        <w:rPr>
          <w:rFonts w:cstheme="minorHAnsi"/>
        </w:rPr>
        <w:t xml:space="preserve">.  Moreover, the government does not give due consideration to the </w:t>
      </w:r>
      <w:r w:rsidR="00E65D01" w:rsidRPr="00E65D01">
        <w:rPr>
          <w:rFonts w:cstheme="minorHAnsi"/>
        </w:rPr>
        <w:t xml:space="preserve">ways harm </w:t>
      </w:r>
      <w:r w:rsidR="006B6BFF">
        <w:rPr>
          <w:rFonts w:cstheme="minorHAnsi"/>
        </w:rPr>
        <w:t xml:space="preserve">is </w:t>
      </w:r>
      <w:r w:rsidR="00E65D01" w:rsidRPr="00E65D01">
        <w:rPr>
          <w:rFonts w:cstheme="minorHAnsi"/>
        </w:rPr>
        <w:t>experienced by different asylum seekers</w:t>
      </w:r>
      <w:r w:rsidR="006D4630">
        <w:rPr>
          <w:rFonts w:cstheme="minorHAnsi"/>
        </w:rPr>
        <w:t>, such as</w:t>
      </w:r>
      <w:r w:rsidR="00E65D01" w:rsidRPr="00E65D01">
        <w:rPr>
          <w:rFonts w:cstheme="minorHAnsi"/>
        </w:rPr>
        <w:t xml:space="preserve"> LGBTQ </w:t>
      </w:r>
      <w:r w:rsidR="006B6BFF">
        <w:rPr>
          <w:rFonts w:cstheme="minorHAnsi"/>
        </w:rPr>
        <w:t>people</w:t>
      </w:r>
      <w:r w:rsidR="00E65D01" w:rsidRPr="00E65D01">
        <w:rPr>
          <w:rFonts w:cstheme="minorHAnsi"/>
        </w:rPr>
        <w:t xml:space="preserve">.  Many of the circumstances </w:t>
      </w:r>
      <w:r w:rsidR="00E65D01" w:rsidRPr="00E65D01">
        <w:rPr>
          <w:rFonts w:cstheme="minorHAnsi"/>
        </w:rPr>
        <w:lastRenderedPageBreak/>
        <w:t xml:space="preserve">the Proposed Rule seeks to exclude are </w:t>
      </w:r>
      <w:r w:rsidR="006D4630">
        <w:rPr>
          <w:rFonts w:cstheme="minorHAnsi"/>
        </w:rPr>
        <w:t>the very ways in which LGBTQ people experience persecution</w:t>
      </w:r>
      <w:r w:rsidR="00216167" w:rsidRPr="00E65D01">
        <w:rPr>
          <w:rFonts w:cstheme="minorHAnsi"/>
        </w:rPr>
        <w:t>.</w:t>
      </w:r>
      <w:r w:rsidR="006B6BFF">
        <w:rPr>
          <w:rFonts w:cstheme="minorHAnsi"/>
        </w:rPr>
        <w:t xml:space="preserve">  </w:t>
      </w:r>
    </w:p>
    <w:p w14:paraId="01D8D411" w14:textId="22315AC9" w:rsidR="0002697D" w:rsidRPr="00E65D01" w:rsidRDefault="00CB2E16" w:rsidP="006B6BFF">
      <w:pPr>
        <w:pStyle w:val="BodyText"/>
        <w:rPr>
          <w:rFonts w:cstheme="minorHAnsi"/>
        </w:rPr>
      </w:pPr>
      <w:r w:rsidRPr="00E65D01">
        <w:rPr>
          <w:rFonts w:cstheme="minorHAnsi"/>
          <w:b/>
          <w:u w:val="single"/>
        </w:rPr>
        <w:t>Refugees</w:t>
      </w:r>
      <w:r w:rsidR="00216167" w:rsidRPr="00E65D01">
        <w:rPr>
          <w:rFonts w:cstheme="minorHAnsi"/>
          <w:b/>
          <w:u w:val="single"/>
        </w:rPr>
        <w:t xml:space="preserve"> should not have to wait until a persecutor carries out a threat</w:t>
      </w:r>
      <w:r w:rsidR="00216167" w:rsidRPr="00E65D01">
        <w:rPr>
          <w:rFonts w:cstheme="minorHAnsi"/>
          <w:u w:val="single"/>
        </w:rPr>
        <w:t>.</w:t>
      </w:r>
      <w:r w:rsidR="00216167" w:rsidRPr="00E65D01">
        <w:rPr>
          <w:rFonts w:cstheme="minorHAnsi"/>
        </w:rPr>
        <w:t xml:space="preserve">  </w:t>
      </w:r>
      <w:r w:rsidR="000B7F6F" w:rsidRPr="00E65D01">
        <w:rPr>
          <w:rFonts w:cstheme="minorHAnsi"/>
        </w:rPr>
        <w:t xml:space="preserve">As the Sixth Circuit recently stated, “it cannot be that an applicant must wait until she is dead to show her government’s inability to control her </w:t>
      </w:r>
      <w:r w:rsidRPr="00E65D01">
        <w:rPr>
          <w:rFonts w:cstheme="minorHAnsi"/>
        </w:rPr>
        <w:t>persecutor</w:t>
      </w:r>
      <w:r w:rsidR="000B7F6F" w:rsidRPr="00E65D01">
        <w:rPr>
          <w:rFonts w:cstheme="minorHAnsi"/>
        </w:rPr>
        <w:t xml:space="preserve">.”  </w:t>
      </w:r>
      <w:r w:rsidR="000B7F6F" w:rsidRPr="00E65D01">
        <w:rPr>
          <w:rFonts w:cstheme="minorHAnsi"/>
          <w:i/>
        </w:rPr>
        <w:t>Juan Antonio v. Barr</w:t>
      </w:r>
      <w:r w:rsidR="000B7F6F" w:rsidRPr="00E65D01">
        <w:rPr>
          <w:rFonts w:cstheme="minorHAnsi"/>
        </w:rPr>
        <w:t>, 959 F.3d 778, 794 (6th Cir. 2020).  Yet the Proposed R</w:t>
      </w:r>
      <w:r w:rsidR="00216167" w:rsidRPr="00E65D01">
        <w:rPr>
          <w:rFonts w:cstheme="minorHAnsi"/>
        </w:rPr>
        <w:t xml:space="preserve">ule nonsensically states that “repeated threats with no actual effort to carry out the threats” would not qualify as persecution.  </w:t>
      </w:r>
      <w:r w:rsidRPr="00E65D01">
        <w:rPr>
          <w:rFonts w:cstheme="minorHAnsi"/>
        </w:rPr>
        <w:t xml:space="preserve">Proposed Rule </w:t>
      </w:r>
      <w:r w:rsidR="009E6DAD" w:rsidRPr="00E65D01">
        <w:rPr>
          <w:rFonts w:cstheme="minorHAnsi"/>
        </w:rPr>
        <w:t>§§ 208.1(e),</w:t>
      </w:r>
      <w:r w:rsidRPr="00E65D01">
        <w:rPr>
          <w:rFonts w:cstheme="minorHAnsi"/>
        </w:rPr>
        <w:t xml:space="preserve"> 1208.1(e); </w:t>
      </w:r>
      <w:r w:rsidR="00561CCB" w:rsidRPr="00E65D01">
        <w:rPr>
          <w:rFonts w:cstheme="minorHAnsi"/>
        </w:rPr>
        <w:t xml:space="preserve">Notice at </w:t>
      </w:r>
      <w:r w:rsidR="00C344DC" w:rsidRPr="00E65D01">
        <w:rPr>
          <w:rFonts w:cstheme="minorHAnsi"/>
        </w:rPr>
        <w:t>60–61</w:t>
      </w:r>
      <w:r w:rsidR="00216167" w:rsidRPr="00E65D01">
        <w:rPr>
          <w:rFonts w:cstheme="minorHAnsi"/>
        </w:rPr>
        <w:t>.</w:t>
      </w:r>
      <w:r w:rsidR="00723FE6" w:rsidRPr="00E65D01">
        <w:rPr>
          <w:rFonts w:cstheme="minorHAnsi"/>
        </w:rPr>
        <w:t xml:space="preserve">  </w:t>
      </w:r>
      <w:r w:rsidRPr="00E65D01">
        <w:rPr>
          <w:rFonts w:cstheme="minorHAnsi"/>
        </w:rPr>
        <w:t>On the face of the Proposed Rule, applicants must expose themselves to risk of violence—up to and including death—in order to show they were persecuted.</w:t>
      </w:r>
      <w:r w:rsidR="00652FBE" w:rsidRPr="00E65D01">
        <w:rPr>
          <w:rFonts w:cstheme="minorHAnsi"/>
        </w:rPr>
        <w:t xml:space="preserve">  </w:t>
      </w:r>
      <w:r w:rsidR="00757DBF">
        <w:rPr>
          <w:rFonts w:cstheme="minorHAnsi"/>
        </w:rPr>
        <w:t xml:space="preserve">After being threatened, an asylum seeker should not be incentivized to wait until someone tries to murder </w:t>
      </w:r>
      <w:r w:rsidR="00E33400">
        <w:rPr>
          <w:rFonts w:cstheme="minorHAnsi"/>
        </w:rPr>
        <w:t>them</w:t>
      </w:r>
      <w:r w:rsidR="00757DBF">
        <w:rPr>
          <w:rFonts w:cstheme="minorHAnsi"/>
        </w:rPr>
        <w:t xml:space="preserve"> before fleeing for </w:t>
      </w:r>
      <w:r w:rsidR="00E33400">
        <w:rPr>
          <w:rFonts w:cstheme="minorHAnsi"/>
        </w:rPr>
        <w:t>t</w:t>
      </w:r>
      <w:r w:rsidR="00757DBF">
        <w:rPr>
          <w:rFonts w:cstheme="minorHAnsi"/>
        </w:rPr>
        <w:t>he</w:t>
      </w:r>
      <w:r w:rsidR="00E33400">
        <w:rPr>
          <w:rFonts w:cstheme="minorHAnsi"/>
        </w:rPr>
        <w:t>i</w:t>
      </w:r>
      <w:r w:rsidR="00757DBF">
        <w:rPr>
          <w:rFonts w:cstheme="minorHAnsi"/>
        </w:rPr>
        <w:t>r life.  This is an absurd result that undermine</w:t>
      </w:r>
      <w:r w:rsidR="00E33400">
        <w:rPr>
          <w:rFonts w:cstheme="minorHAnsi"/>
        </w:rPr>
        <w:t>s</w:t>
      </w:r>
      <w:r w:rsidR="00757DBF">
        <w:rPr>
          <w:rFonts w:cstheme="minorHAnsi"/>
        </w:rPr>
        <w:t xml:space="preserve"> the very purpose of refugee protections.  Moreover, </w:t>
      </w:r>
      <w:r w:rsidRPr="00E65D01">
        <w:rPr>
          <w:rFonts w:cstheme="minorHAnsi"/>
        </w:rPr>
        <w:t xml:space="preserve">LGBTQ claimants regularly face threats </w:t>
      </w:r>
      <w:r w:rsidR="00757DBF">
        <w:rPr>
          <w:rFonts w:cstheme="minorHAnsi"/>
        </w:rPr>
        <w:t xml:space="preserve">that </w:t>
      </w:r>
      <w:r w:rsidRPr="00E65D01">
        <w:rPr>
          <w:rFonts w:cstheme="minorHAnsi"/>
        </w:rPr>
        <w:t>amount to persistent and conscious terror campaigns</w:t>
      </w:r>
      <w:r w:rsidR="00757DBF">
        <w:rPr>
          <w:rFonts w:cstheme="minorHAnsi"/>
        </w:rPr>
        <w:t>, which alone rise to the level of persecution</w:t>
      </w:r>
      <w:r w:rsidRPr="00E65D01">
        <w:rPr>
          <w:rFonts w:cstheme="minorHAnsi"/>
        </w:rPr>
        <w:t xml:space="preserve">.  </w:t>
      </w:r>
    </w:p>
    <w:p w14:paraId="1B153FB6" w14:textId="77777777" w:rsidR="0055749F" w:rsidRPr="00352F4C" w:rsidRDefault="0055749F" w:rsidP="0055749F">
      <w:pPr>
        <w:pStyle w:val="BodyText"/>
        <w:rPr>
          <w:rFonts w:cstheme="minorHAnsi"/>
          <w:b/>
        </w:rPr>
      </w:pPr>
      <w:r w:rsidRPr="004368B2">
        <w:rPr>
          <w:rFonts w:cstheme="minorHAnsi"/>
          <w:b/>
          <w:highlight w:val="yellow"/>
        </w:rPr>
        <w:t xml:space="preserve">[Insert relevant </w:t>
      </w:r>
      <w:r>
        <w:rPr>
          <w:rFonts w:cstheme="minorHAnsi"/>
          <w:b/>
          <w:highlight w:val="yellow"/>
        </w:rPr>
        <w:t>example/</w:t>
      </w:r>
      <w:r w:rsidRPr="004368B2">
        <w:rPr>
          <w:rFonts w:cstheme="minorHAnsi"/>
          <w:b/>
          <w:highlight w:val="yellow"/>
        </w:rPr>
        <w:t>client stor</w:t>
      </w:r>
      <w:r>
        <w:rPr>
          <w:rFonts w:cstheme="minorHAnsi"/>
          <w:b/>
          <w:highlight w:val="yellow"/>
        </w:rPr>
        <w:t>y</w:t>
      </w:r>
      <w:r w:rsidRPr="004368B2">
        <w:rPr>
          <w:rFonts w:cstheme="minorHAnsi"/>
          <w:b/>
          <w:highlight w:val="yellow"/>
        </w:rPr>
        <w:t>.]</w:t>
      </w:r>
    </w:p>
    <w:p w14:paraId="4D66B2FD" w14:textId="22F7390A" w:rsidR="00B21A6D" w:rsidRPr="00E65D01" w:rsidRDefault="00CB2E16" w:rsidP="00757DBF">
      <w:pPr>
        <w:pStyle w:val="BodyText"/>
        <w:rPr>
          <w:rFonts w:cstheme="minorHAnsi"/>
        </w:rPr>
      </w:pPr>
      <w:r w:rsidRPr="00E65D01">
        <w:rPr>
          <w:rFonts w:cstheme="minorHAnsi"/>
          <w:b/>
          <w:u w:val="single"/>
        </w:rPr>
        <w:t>Intermittent harassment and brief detentions can rise to the level of persecution</w:t>
      </w:r>
      <w:r w:rsidRPr="00E65D01">
        <w:rPr>
          <w:rFonts w:cstheme="minorHAnsi"/>
        </w:rPr>
        <w:t xml:space="preserve">.  </w:t>
      </w:r>
      <w:r w:rsidR="00A17CAB" w:rsidRPr="00E65D01">
        <w:rPr>
          <w:rFonts w:cstheme="minorHAnsi"/>
        </w:rPr>
        <w:t xml:space="preserve">The Proposed Rule also </w:t>
      </w:r>
      <w:r w:rsidR="0002697D" w:rsidRPr="00E65D01">
        <w:rPr>
          <w:rFonts w:cstheme="minorHAnsi"/>
        </w:rPr>
        <w:t>states that</w:t>
      </w:r>
      <w:r w:rsidR="00A17CAB" w:rsidRPr="00E65D01">
        <w:rPr>
          <w:rFonts w:cstheme="minorHAnsi"/>
        </w:rPr>
        <w:t xml:space="preserve"> persecution “does not include intermittent harassment, including brief detention.”  Proposed Rule </w:t>
      </w:r>
      <w:r w:rsidR="009E6DAD" w:rsidRPr="00E65D01">
        <w:rPr>
          <w:rFonts w:cstheme="minorHAnsi"/>
        </w:rPr>
        <w:t xml:space="preserve">§§ </w:t>
      </w:r>
      <w:r w:rsidR="00A17CAB" w:rsidRPr="00E65D01">
        <w:rPr>
          <w:rFonts w:cstheme="minorHAnsi"/>
        </w:rPr>
        <w:t>208.1</w:t>
      </w:r>
      <w:r w:rsidR="003A279C" w:rsidRPr="00E65D01">
        <w:rPr>
          <w:rFonts w:cstheme="minorHAnsi"/>
        </w:rPr>
        <w:t>(e), 1208.</w:t>
      </w:r>
      <w:r w:rsidR="009E6DAD" w:rsidRPr="00E65D01">
        <w:rPr>
          <w:rFonts w:cstheme="minorHAnsi"/>
        </w:rPr>
        <w:t>1</w:t>
      </w:r>
      <w:r w:rsidR="003A279C" w:rsidRPr="00E65D01">
        <w:rPr>
          <w:rFonts w:cstheme="minorHAnsi"/>
        </w:rPr>
        <w:t xml:space="preserve">(e); Notice at </w:t>
      </w:r>
      <w:r w:rsidR="00C344DC" w:rsidRPr="00E65D01">
        <w:rPr>
          <w:rFonts w:cstheme="minorHAnsi"/>
        </w:rPr>
        <w:t>61</w:t>
      </w:r>
      <w:r w:rsidR="003A279C" w:rsidRPr="00E65D01">
        <w:rPr>
          <w:rFonts w:cstheme="minorHAnsi"/>
        </w:rPr>
        <w:t xml:space="preserve">.  </w:t>
      </w:r>
      <w:r w:rsidR="00757DBF">
        <w:rPr>
          <w:rFonts w:cstheme="minorHAnsi"/>
        </w:rPr>
        <w:t>However, detention itself can rise to the level of persecution</w:t>
      </w:r>
      <w:r w:rsidRPr="00E65D01">
        <w:rPr>
          <w:rFonts w:cstheme="minorHAnsi"/>
        </w:rPr>
        <w:t>.</w:t>
      </w:r>
      <w:r w:rsidRPr="00E65D01">
        <w:rPr>
          <w:rStyle w:val="FootnoteReference"/>
          <w:rFonts w:cstheme="minorHAnsi"/>
        </w:rPr>
        <w:footnoteReference w:id="30"/>
      </w:r>
      <w:r w:rsidRPr="00E65D01">
        <w:rPr>
          <w:rFonts w:cstheme="minorHAnsi"/>
        </w:rPr>
        <w:t xml:space="preserve">  </w:t>
      </w:r>
      <w:r w:rsidR="00757DBF">
        <w:rPr>
          <w:rFonts w:cstheme="minorHAnsi"/>
        </w:rPr>
        <w:t>Moreover,</w:t>
      </w:r>
      <w:r w:rsidR="00A17CAB" w:rsidRPr="00E65D01">
        <w:rPr>
          <w:rFonts w:cstheme="minorHAnsi"/>
        </w:rPr>
        <w:t xml:space="preserve"> </w:t>
      </w:r>
      <w:r w:rsidRPr="00E65D01">
        <w:rPr>
          <w:rFonts w:cstheme="minorHAnsi"/>
        </w:rPr>
        <w:t>“intermittent” incidents can quickly become cumulative, amounting to persecution.</w:t>
      </w:r>
      <w:r w:rsidRPr="00E65D01">
        <w:rPr>
          <w:rStyle w:val="FootnoteReference"/>
          <w:rFonts w:cstheme="minorHAnsi"/>
        </w:rPr>
        <w:footnoteReference w:id="31"/>
      </w:r>
      <w:r w:rsidRPr="00E65D01">
        <w:rPr>
          <w:rFonts w:cstheme="minorHAnsi"/>
        </w:rPr>
        <w:t xml:space="preserve">  There is nothing in the Proposed Rule acknowledging the clear rule that adjudicators must consider the cumulative effect of any </w:t>
      </w:r>
      <w:r w:rsidR="006D4630">
        <w:rPr>
          <w:rFonts w:cstheme="minorHAnsi"/>
        </w:rPr>
        <w:t xml:space="preserve">such </w:t>
      </w:r>
      <w:r w:rsidRPr="00E65D01">
        <w:rPr>
          <w:rFonts w:cstheme="minorHAnsi"/>
        </w:rPr>
        <w:t>incidents.</w:t>
      </w:r>
    </w:p>
    <w:p w14:paraId="77ED71F1" w14:textId="77777777" w:rsidR="00986292" w:rsidRPr="00E65D01" w:rsidRDefault="00CB2E16" w:rsidP="0010653C">
      <w:pPr>
        <w:pStyle w:val="BodyText"/>
        <w:rPr>
          <w:rFonts w:cstheme="minorHAnsi"/>
        </w:rPr>
      </w:pPr>
      <w:r w:rsidRPr="00E65D01">
        <w:rPr>
          <w:rFonts w:cstheme="minorHAnsi"/>
        </w:rPr>
        <w:t xml:space="preserve">Indeed, as discussed above, LGBTQ claimants are regularly terrorized and detained as a punishment for their sexual orientation and gender identity.  Many are forced to stay closeted or risk retaliation, imprisonment, and abuse, up to and including rape and homicide.  </w:t>
      </w:r>
    </w:p>
    <w:p w14:paraId="1939EE34" w14:textId="77777777" w:rsidR="0055749F" w:rsidRPr="00352F4C" w:rsidRDefault="0055749F" w:rsidP="0055749F">
      <w:pPr>
        <w:pStyle w:val="BodyText"/>
        <w:rPr>
          <w:rFonts w:cstheme="minorHAnsi"/>
          <w:b/>
        </w:rPr>
      </w:pPr>
      <w:r w:rsidRPr="004368B2">
        <w:rPr>
          <w:rFonts w:cstheme="minorHAnsi"/>
          <w:b/>
          <w:highlight w:val="yellow"/>
        </w:rPr>
        <w:t xml:space="preserve">[Insert relevant </w:t>
      </w:r>
      <w:r>
        <w:rPr>
          <w:rFonts w:cstheme="minorHAnsi"/>
          <w:b/>
          <w:highlight w:val="yellow"/>
        </w:rPr>
        <w:t>example/</w:t>
      </w:r>
      <w:r w:rsidRPr="004368B2">
        <w:rPr>
          <w:rFonts w:cstheme="minorHAnsi"/>
          <w:b/>
          <w:highlight w:val="yellow"/>
        </w:rPr>
        <w:t>client stor</w:t>
      </w:r>
      <w:r>
        <w:rPr>
          <w:rFonts w:cstheme="minorHAnsi"/>
          <w:b/>
          <w:highlight w:val="yellow"/>
        </w:rPr>
        <w:t>y</w:t>
      </w:r>
      <w:r w:rsidRPr="004368B2">
        <w:rPr>
          <w:rFonts w:cstheme="minorHAnsi"/>
          <w:b/>
          <w:highlight w:val="yellow"/>
        </w:rPr>
        <w:t>.]</w:t>
      </w:r>
    </w:p>
    <w:p w14:paraId="7811F8C3" w14:textId="7897AE77" w:rsidR="003A279C" w:rsidRPr="00E65D01" w:rsidRDefault="00CB2E16" w:rsidP="0010653C">
      <w:pPr>
        <w:pStyle w:val="BodyText"/>
        <w:rPr>
          <w:rFonts w:cstheme="minorHAnsi"/>
          <w:u w:val="single"/>
        </w:rPr>
      </w:pPr>
      <w:r w:rsidRPr="00E65D01">
        <w:rPr>
          <w:rFonts w:cstheme="minorHAnsi"/>
          <w:b/>
          <w:u w:val="single"/>
        </w:rPr>
        <w:t>Applicants should not have to wait until</w:t>
      </w:r>
      <w:r w:rsidR="00F32393" w:rsidRPr="00E65D01">
        <w:rPr>
          <w:rFonts w:cstheme="minorHAnsi"/>
          <w:b/>
          <w:u w:val="single"/>
        </w:rPr>
        <w:t xml:space="preserve"> persecutory</w:t>
      </w:r>
      <w:r w:rsidRPr="00E65D01">
        <w:rPr>
          <w:rFonts w:cstheme="minorHAnsi"/>
          <w:b/>
          <w:u w:val="single"/>
        </w:rPr>
        <w:t xml:space="preserve"> </w:t>
      </w:r>
      <w:r w:rsidR="007A4782" w:rsidRPr="00E65D01">
        <w:rPr>
          <w:rFonts w:cstheme="minorHAnsi"/>
          <w:b/>
          <w:u w:val="single"/>
        </w:rPr>
        <w:t>laws are enforced against them</w:t>
      </w:r>
      <w:r w:rsidR="00757DBF">
        <w:rPr>
          <w:rFonts w:cstheme="minorHAnsi"/>
          <w:b/>
          <w:u w:val="single"/>
        </w:rPr>
        <w:t xml:space="preserve"> to flee</w:t>
      </w:r>
      <w:r w:rsidR="0002697D" w:rsidRPr="00E65D01">
        <w:rPr>
          <w:rFonts w:cstheme="minorHAnsi"/>
        </w:rPr>
        <w:t xml:space="preserve">.  </w:t>
      </w:r>
      <w:r w:rsidRPr="00E65D01">
        <w:rPr>
          <w:rFonts w:cstheme="minorHAnsi"/>
        </w:rPr>
        <w:t xml:space="preserve">The Proposed Rule asserts that </w:t>
      </w:r>
      <w:r w:rsidR="002D41B7" w:rsidRPr="00E65D01">
        <w:rPr>
          <w:rFonts w:cstheme="minorHAnsi"/>
        </w:rPr>
        <w:t xml:space="preserve">persecution does not include “laws or government policies that are unenforced or infrequently enforced” without “credible evidence that those laws </w:t>
      </w:r>
      <w:r w:rsidR="002D41B7" w:rsidRPr="00E65D01">
        <w:rPr>
          <w:rFonts w:cstheme="minorHAnsi"/>
        </w:rPr>
        <w:lastRenderedPageBreak/>
        <w:t xml:space="preserve">or policies have been or would be applied to an applicant personally.”  </w:t>
      </w:r>
      <w:r w:rsidR="0002697D" w:rsidRPr="00E65D01">
        <w:rPr>
          <w:rFonts w:cstheme="minorHAnsi"/>
        </w:rPr>
        <w:t xml:space="preserve">Proposed Rule </w:t>
      </w:r>
      <w:r w:rsidR="009E6DAD" w:rsidRPr="00E65D01">
        <w:rPr>
          <w:rFonts w:cstheme="minorHAnsi"/>
        </w:rPr>
        <w:t xml:space="preserve">§§ </w:t>
      </w:r>
      <w:r w:rsidR="002D41B7" w:rsidRPr="00E65D01">
        <w:rPr>
          <w:rFonts w:cstheme="minorHAnsi"/>
        </w:rPr>
        <w:t>208.1(e)</w:t>
      </w:r>
      <w:r w:rsidR="009E6DAD" w:rsidRPr="00E65D01">
        <w:rPr>
          <w:rFonts w:cstheme="minorHAnsi"/>
        </w:rPr>
        <w:t>,</w:t>
      </w:r>
      <w:r w:rsidR="0002697D" w:rsidRPr="00E65D01">
        <w:rPr>
          <w:rFonts w:cstheme="minorHAnsi"/>
        </w:rPr>
        <w:t xml:space="preserve"> 1208.1(e); Notice at </w:t>
      </w:r>
      <w:r w:rsidR="00C344DC" w:rsidRPr="00E65D01">
        <w:rPr>
          <w:rFonts w:cstheme="minorHAnsi"/>
        </w:rPr>
        <w:t>61–62</w:t>
      </w:r>
      <w:r w:rsidR="002D41B7" w:rsidRPr="00E65D01">
        <w:rPr>
          <w:rFonts w:cstheme="minorHAnsi"/>
        </w:rPr>
        <w:t>.</w:t>
      </w:r>
      <w:r w:rsidR="00CC266C" w:rsidRPr="00E65D01">
        <w:rPr>
          <w:rFonts w:cstheme="minorHAnsi"/>
        </w:rPr>
        <w:t xml:space="preserve">  </w:t>
      </w:r>
    </w:p>
    <w:p w14:paraId="29EDB9CA" w14:textId="2AC412C0" w:rsidR="008E01E0" w:rsidRPr="00E65D01" w:rsidRDefault="00CB2E16">
      <w:pPr>
        <w:pStyle w:val="BodyText"/>
        <w:rPr>
          <w:rFonts w:cstheme="minorHAnsi"/>
        </w:rPr>
      </w:pPr>
      <w:r w:rsidRPr="00E65D01">
        <w:rPr>
          <w:rFonts w:cstheme="minorHAnsi"/>
        </w:rPr>
        <w:t>The Proposed Rule</w:t>
      </w:r>
      <w:r w:rsidR="002D41B7" w:rsidRPr="00E65D01">
        <w:rPr>
          <w:rFonts w:cstheme="minorHAnsi"/>
        </w:rPr>
        <w:t xml:space="preserve"> </w:t>
      </w:r>
      <w:r w:rsidR="00A702E5" w:rsidRPr="00E65D01">
        <w:rPr>
          <w:rFonts w:cstheme="minorHAnsi"/>
        </w:rPr>
        <w:t xml:space="preserve">is </w:t>
      </w:r>
      <w:r w:rsidR="00E33400">
        <w:rPr>
          <w:rFonts w:cstheme="minorHAnsi"/>
        </w:rPr>
        <w:t>inaccurate</w:t>
      </w:r>
      <w:r w:rsidR="00A702E5" w:rsidRPr="00E65D01">
        <w:rPr>
          <w:rFonts w:cstheme="minorHAnsi"/>
        </w:rPr>
        <w:t xml:space="preserve"> when it states that “the mere existence of potentially persecutory laws or policies is not enough to establish a well-founded fear of persecution.”  Notice at 60.  </w:t>
      </w:r>
      <w:r w:rsidR="00757DBF">
        <w:rPr>
          <w:rFonts w:cstheme="minorHAnsi"/>
        </w:rPr>
        <w:t xml:space="preserve">Under this reasoning, in </w:t>
      </w:r>
      <w:r w:rsidR="00D37D8F">
        <w:rPr>
          <w:rFonts w:cstheme="minorHAnsi"/>
        </w:rPr>
        <w:t>countries where same sex relationships carry the death penalty, th</w:t>
      </w:r>
      <w:r w:rsidR="00E33400">
        <w:rPr>
          <w:rFonts w:cstheme="minorHAnsi"/>
        </w:rPr>
        <w:t>e</w:t>
      </w:r>
      <w:r w:rsidR="00D37D8F">
        <w:rPr>
          <w:rFonts w:cstheme="minorHAnsi"/>
        </w:rPr>
        <w:t xml:space="preserve"> fact that LGBTQ people are “infrequently” stoned to death would disqualify these laws as persecutory</w:t>
      </w:r>
      <w:r w:rsidR="008E01E0" w:rsidRPr="00E65D01">
        <w:rPr>
          <w:rFonts w:cstheme="minorHAnsi"/>
        </w:rPr>
        <w:t>.</w:t>
      </w:r>
      <w:r w:rsidR="00D37D8F">
        <w:rPr>
          <w:rFonts w:cstheme="minorHAnsi"/>
        </w:rPr>
        <w:t xml:space="preserve">  Such a result is morally reprehensible and makes a mockery of the </w:t>
      </w:r>
      <w:r w:rsidR="006D4630">
        <w:rPr>
          <w:rFonts w:cstheme="minorHAnsi"/>
        </w:rPr>
        <w:t>U.S.</w:t>
      </w:r>
      <w:r w:rsidR="00D37D8F">
        <w:rPr>
          <w:rFonts w:cstheme="minorHAnsi"/>
        </w:rPr>
        <w:t>’</w:t>
      </w:r>
      <w:r w:rsidR="006D4630">
        <w:rPr>
          <w:rFonts w:cstheme="minorHAnsi"/>
        </w:rPr>
        <w:t>s</w:t>
      </w:r>
      <w:r w:rsidR="00D37D8F">
        <w:rPr>
          <w:rFonts w:cstheme="minorHAnsi"/>
        </w:rPr>
        <w:t xml:space="preserve"> commitment to humanitarian protection. </w:t>
      </w:r>
      <w:r w:rsidR="006D21E1" w:rsidRPr="00E65D01">
        <w:rPr>
          <w:rFonts w:cstheme="minorHAnsi"/>
        </w:rPr>
        <w:t xml:space="preserve">If any nation is prosecuting LGBTQ identity as a crime, regardless of the frequency of such actions, </w:t>
      </w:r>
      <w:r w:rsidR="00D37D8F">
        <w:rPr>
          <w:rFonts w:cstheme="minorHAnsi"/>
        </w:rPr>
        <w:t xml:space="preserve">it </w:t>
      </w:r>
      <w:r w:rsidR="006D21E1" w:rsidRPr="00E65D01">
        <w:rPr>
          <w:rFonts w:cstheme="minorHAnsi"/>
        </w:rPr>
        <w:t xml:space="preserve">is </w:t>
      </w:r>
      <w:r w:rsidR="006D21E1" w:rsidRPr="00D37D8F">
        <w:rPr>
          <w:rFonts w:cstheme="minorHAnsi"/>
          <w:i/>
        </w:rPr>
        <w:t>per se</w:t>
      </w:r>
      <w:r w:rsidR="006D21E1" w:rsidRPr="00E65D01">
        <w:rPr>
          <w:rFonts w:cstheme="minorHAnsi"/>
        </w:rPr>
        <w:t xml:space="preserve"> persecution. </w:t>
      </w:r>
    </w:p>
    <w:p w14:paraId="4D06C7A9" w14:textId="7D36316E" w:rsidR="007A4782" w:rsidRPr="00E65D01" w:rsidRDefault="00D37D8F">
      <w:pPr>
        <w:pStyle w:val="BodyText"/>
        <w:rPr>
          <w:rFonts w:cstheme="minorHAnsi"/>
        </w:rPr>
      </w:pPr>
      <w:r>
        <w:rPr>
          <w:rFonts w:cstheme="minorHAnsi"/>
        </w:rPr>
        <w:t>In addition, t</w:t>
      </w:r>
      <w:r w:rsidR="006D21E1" w:rsidRPr="00E65D01">
        <w:rPr>
          <w:rFonts w:cstheme="minorHAnsi"/>
        </w:rPr>
        <w:t>he Proposed Rule</w:t>
      </w:r>
      <w:r w:rsidR="00A702E5" w:rsidRPr="00E65D01">
        <w:rPr>
          <w:rFonts w:cstheme="minorHAnsi"/>
        </w:rPr>
        <w:t xml:space="preserve"> </w:t>
      </w:r>
      <w:r w:rsidR="002D41B7" w:rsidRPr="00E65D01">
        <w:rPr>
          <w:rFonts w:cstheme="minorHAnsi"/>
        </w:rPr>
        <w:t>ignores the</w:t>
      </w:r>
      <w:r w:rsidR="00A702E5" w:rsidRPr="00E65D01">
        <w:rPr>
          <w:rFonts w:cstheme="minorHAnsi"/>
        </w:rPr>
        <w:t xml:space="preserve"> well-recognized</w:t>
      </w:r>
      <w:r w:rsidR="002D41B7" w:rsidRPr="00E65D01">
        <w:rPr>
          <w:rFonts w:cstheme="minorHAnsi"/>
        </w:rPr>
        <w:t xml:space="preserve"> effect that</w:t>
      </w:r>
      <w:r w:rsidR="00CB2E16" w:rsidRPr="00E65D01">
        <w:rPr>
          <w:rFonts w:cstheme="minorHAnsi"/>
        </w:rPr>
        <w:t xml:space="preserve"> persecutory</w:t>
      </w:r>
      <w:r w:rsidR="002D41B7" w:rsidRPr="00E65D01">
        <w:rPr>
          <w:rFonts w:cstheme="minorHAnsi"/>
        </w:rPr>
        <w:t xml:space="preserve"> laws have merely by being on the books.  LGBTQ refugees understand this acutely: </w:t>
      </w:r>
      <w:r w:rsidR="00CB2E16" w:rsidRPr="00E65D01">
        <w:rPr>
          <w:rFonts w:cstheme="minorHAnsi"/>
        </w:rPr>
        <w:t xml:space="preserve">as discussed above, </w:t>
      </w:r>
      <w:r w:rsidR="002D41B7" w:rsidRPr="00E65D01">
        <w:rPr>
          <w:rFonts w:cstheme="minorHAnsi"/>
        </w:rPr>
        <w:t>m</w:t>
      </w:r>
      <w:r w:rsidR="007A4782" w:rsidRPr="00E65D01">
        <w:rPr>
          <w:rFonts w:cstheme="minorHAnsi"/>
        </w:rPr>
        <w:t xml:space="preserve">any countries have harsh </w:t>
      </w:r>
      <w:r w:rsidR="00CB2E16" w:rsidRPr="00E65D01">
        <w:rPr>
          <w:rFonts w:cstheme="minorHAnsi"/>
        </w:rPr>
        <w:t>anti-LGBTQ</w:t>
      </w:r>
      <w:r w:rsidR="007A4782" w:rsidRPr="00E65D01">
        <w:rPr>
          <w:rFonts w:cstheme="minorHAnsi"/>
        </w:rPr>
        <w:t xml:space="preserve"> laws and policies.</w:t>
      </w:r>
      <w:r w:rsidR="002D41B7" w:rsidRPr="00E65D01">
        <w:rPr>
          <w:rFonts w:cstheme="minorHAnsi"/>
        </w:rPr>
        <w:t xml:space="preserve">  </w:t>
      </w:r>
      <w:r w:rsidR="00E33400">
        <w:rPr>
          <w:rFonts w:cstheme="minorHAnsi"/>
        </w:rPr>
        <w:t>P</w:t>
      </w:r>
      <w:r w:rsidR="002D41B7" w:rsidRPr="00E65D01">
        <w:rPr>
          <w:rFonts w:cstheme="minorHAnsi"/>
        </w:rPr>
        <w:t xml:space="preserve">ersecutory laws dictate the scope of acceptable and unacceptable political and social behavior, </w:t>
      </w:r>
      <w:r w:rsidR="007468BD" w:rsidRPr="00E65D01">
        <w:rPr>
          <w:rFonts w:cstheme="minorHAnsi"/>
        </w:rPr>
        <w:t>and</w:t>
      </w:r>
      <w:r w:rsidR="00CB2E16" w:rsidRPr="00E65D01">
        <w:rPr>
          <w:rFonts w:cstheme="minorHAnsi"/>
        </w:rPr>
        <w:t xml:space="preserve"> act as official </w:t>
      </w:r>
      <w:r w:rsidR="009B06E2" w:rsidRPr="00E65D01">
        <w:rPr>
          <w:rFonts w:cstheme="minorHAnsi"/>
        </w:rPr>
        <w:t>endorsement</w:t>
      </w:r>
      <w:r w:rsidR="00CB2E16" w:rsidRPr="00E65D01">
        <w:rPr>
          <w:rFonts w:cstheme="minorHAnsi"/>
        </w:rPr>
        <w:t xml:space="preserve"> for persecution</w:t>
      </w:r>
      <w:r w:rsidR="007468BD" w:rsidRPr="00E65D01">
        <w:rPr>
          <w:rFonts w:cstheme="minorHAnsi"/>
        </w:rPr>
        <w:t xml:space="preserve"> against LGBTQ people</w:t>
      </w:r>
      <w:r w:rsidR="009B06E2" w:rsidRPr="00E65D01">
        <w:rPr>
          <w:rFonts w:cstheme="minorHAnsi"/>
        </w:rPr>
        <w:t>, increasing the frequency and severity of mistreatment</w:t>
      </w:r>
      <w:r w:rsidR="00CB2E16" w:rsidRPr="00E65D01">
        <w:rPr>
          <w:rFonts w:cstheme="minorHAnsi"/>
        </w:rPr>
        <w:t xml:space="preserve">.  </w:t>
      </w:r>
      <w:r w:rsidR="00214C7E" w:rsidRPr="00E65D01">
        <w:rPr>
          <w:rFonts w:cstheme="minorHAnsi"/>
        </w:rPr>
        <w:t>As Human Rights Watch recognized, “[c]</w:t>
      </w:r>
      <w:proofErr w:type="spellStart"/>
      <w:r w:rsidR="00214C7E" w:rsidRPr="00E65D01">
        <w:rPr>
          <w:rFonts w:cstheme="minorHAnsi"/>
        </w:rPr>
        <w:t>riminalizing</w:t>
      </w:r>
      <w:proofErr w:type="spellEnd"/>
      <w:r w:rsidR="00214C7E" w:rsidRPr="00E65D01">
        <w:rPr>
          <w:rFonts w:cstheme="minorHAnsi"/>
        </w:rPr>
        <w:t xml:space="preserve"> sexual intimacy between men offers legal sanction to discrimination against sexual and gender minorities, and in the context of widespread homophobia, gives social sanction to prejudice and helps create a context in which hostility and violence is directed against LGBT people.”</w:t>
      </w:r>
      <w:r w:rsidR="00CB2E16" w:rsidRPr="00E65D01">
        <w:rPr>
          <w:rStyle w:val="FootnoteReference"/>
          <w:rFonts w:cstheme="minorHAnsi"/>
        </w:rPr>
        <w:footnoteReference w:id="32"/>
      </w:r>
      <w:r w:rsidR="00214C7E" w:rsidRPr="00E65D01">
        <w:rPr>
          <w:rFonts w:cstheme="minorHAnsi"/>
        </w:rPr>
        <w:t xml:space="preserve">  </w:t>
      </w:r>
      <w:r w:rsidR="00165721" w:rsidRPr="00E65D01">
        <w:rPr>
          <w:rFonts w:cstheme="minorHAnsi"/>
        </w:rPr>
        <w:t>Persecutory laws</w:t>
      </w:r>
      <w:r w:rsidR="009B06E2" w:rsidRPr="00E65D01">
        <w:rPr>
          <w:rFonts w:cstheme="minorHAnsi"/>
        </w:rPr>
        <w:t xml:space="preserve"> create opportunities for persecutors to prey on a person the law proclaims to be a criminal, knowing that the law will not intervene.  Thus, even when the government does not overtly enforce </w:t>
      </w:r>
      <w:r w:rsidR="00E33400">
        <w:rPr>
          <w:rFonts w:cstheme="minorHAnsi"/>
        </w:rPr>
        <w:t>such</w:t>
      </w:r>
      <w:r w:rsidR="009B06E2" w:rsidRPr="00E65D01">
        <w:rPr>
          <w:rFonts w:cstheme="minorHAnsi"/>
        </w:rPr>
        <w:t xml:space="preserve"> laws, LGBTQ people are subject to </w:t>
      </w:r>
      <w:r>
        <w:rPr>
          <w:rFonts w:cstheme="minorHAnsi"/>
        </w:rPr>
        <w:t xml:space="preserve">violence, sexual abuse, </w:t>
      </w:r>
      <w:r w:rsidR="00AA7D45">
        <w:rPr>
          <w:rFonts w:cstheme="minorHAnsi"/>
        </w:rPr>
        <w:t xml:space="preserve">and murder, not to mention, </w:t>
      </w:r>
      <w:r w:rsidR="009B06E2" w:rsidRPr="00E65D01">
        <w:rPr>
          <w:rFonts w:cstheme="minorHAnsi"/>
        </w:rPr>
        <w:t xml:space="preserve">extortion, job loss, denial of access to healthcare, and loss of parental rights.  Finally, such laws permanently disenfranchise groups that the state views as disfavored, reducing their overall safety and stability in society.  </w:t>
      </w:r>
    </w:p>
    <w:p w14:paraId="6207DDFB" w14:textId="5796CCB3" w:rsidR="00F37309" w:rsidRPr="00E65D01" w:rsidRDefault="00F37309" w:rsidP="00DA0656">
      <w:pPr>
        <w:ind w:firstLine="720"/>
        <w:rPr>
          <w:rFonts w:cstheme="minorHAnsi"/>
        </w:rPr>
      </w:pPr>
      <w:r w:rsidRPr="00E65D01">
        <w:rPr>
          <w:rFonts w:cstheme="minorHAnsi"/>
        </w:rPr>
        <w:t xml:space="preserve">Further, among other restrictions, the Proposed Rule explicitly directs adjudicators to not consider laws on the books that are “unenforced or infrequently enforced” unless the applicant can demonstrate the laws will specifically be enforced against them. This provision fails to </w:t>
      </w:r>
      <w:proofErr w:type="gramStart"/>
      <w:r w:rsidRPr="00E65D01">
        <w:rPr>
          <w:rFonts w:cstheme="minorHAnsi"/>
        </w:rPr>
        <w:t>take into account</w:t>
      </w:r>
      <w:proofErr w:type="gramEnd"/>
      <w:r w:rsidRPr="00E65D01">
        <w:rPr>
          <w:rFonts w:cstheme="minorHAnsi"/>
        </w:rPr>
        <w:t xml:space="preserve"> the chilling effect that such laws have. For example, an LGBT applicant may fear reporting a hate crime to the police because there are laws prohibiting LGBT activity in th</w:t>
      </w:r>
      <w:r w:rsidR="00E33400">
        <w:rPr>
          <w:rFonts w:cstheme="minorHAnsi"/>
        </w:rPr>
        <w:t xml:space="preserve">e </w:t>
      </w:r>
      <w:r w:rsidRPr="00E65D01">
        <w:rPr>
          <w:rFonts w:cstheme="minorHAnsi"/>
        </w:rPr>
        <w:t>country</w:t>
      </w:r>
      <w:r w:rsidR="00E33400">
        <w:rPr>
          <w:rFonts w:cstheme="minorHAnsi"/>
        </w:rPr>
        <w:t xml:space="preserve"> of origin</w:t>
      </w:r>
      <w:r w:rsidRPr="00E65D01">
        <w:rPr>
          <w:rFonts w:cstheme="minorHAnsi"/>
        </w:rPr>
        <w:t>. Whether or not the applicant can prove that the government is likely to enforce the law is beside the point; applicants would not be able to avail themselves of their country’s protection if they fear their own arrest in going to the police. INA 101(a</w:t>
      </w:r>
      <w:proofErr w:type="gramStart"/>
      <w:r w:rsidRPr="00E65D01">
        <w:rPr>
          <w:rFonts w:cstheme="minorHAnsi"/>
        </w:rPr>
        <w:t>)(</w:t>
      </w:r>
      <w:proofErr w:type="gramEnd"/>
      <w:r w:rsidRPr="00E65D01">
        <w:rPr>
          <w:rFonts w:cstheme="minorHAnsi"/>
        </w:rPr>
        <w:t>42).</w:t>
      </w:r>
    </w:p>
    <w:p w14:paraId="43BBC63A" w14:textId="77777777" w:rsidR="00AA7D45" w:rsidRDefault="00AA7D45" w:rsidP="0055749F">
      <w:pPr>
        <w:pStyle w:val="BodyText"/>
        <w:rPr>
          <w:rFonts w:cstheme="minorHAnsi"/>
          <w:b/>
        </w:rPr>
      </w:pPr>
    </w:p>
    <w:p w14:paraId="6A0C1040" w14:textId="776DA0B9" w:rsidR="00864A34" w:rsidRPr="00E65D01" w:rsidRDefault="00D37D8F" w:rsidP="0055749F">
      <w:pPr>
        <w:pStyle w:val="BodyText"/>
        <w:rPr>
          <w:rFonts w:cstheme="minorHAnsi"/>
          <w:b/>
        </w:rPr>
      </w:pPr>
      <w:r w:rsidRPr="00E65D01">
        <w:rPr>
          <w:rFonts w:cstheme="minorHAnsi"/>
          <w:b/>
        </w:rPr>
        <w:t xml:space="preserve"> </w:t>
      </w:r>
      <w:r w:rsidR="00CB2E16" w:rsidRPr="00D37D8F">
        <w:rPr>
          <w:rFonts w:cstheme="minorHAnsi"/>
          <w:b/>
          <w:highlight w:val="yellow"/>
        </w:rPr>
        <w:t>[</w:t>
      </w:r>
      <w:r w:rsidR="0055749F" w:rsidRPr="004368B2">
        <w:rPr>
          <w:rFonts w:cstheme="minorHAnsi"/>
          <w:b/>
          <w:highlight w:val="yellow"/>
        </w:rPr>
        <w:t xml:space="preserve">Insert relevant </w:t>
      </w:r>
      <w:r w:rsidR="0055749F">
        <w:rPr>
          <w:rFonts w:cstheme="minorHAnsi"/>
          <w:b/>
          <w:highlight w:val="yellow"/>
        </w:rPr>
        <w:t>example/</w:t>
      </w:r>
      <w:r w:rsidR="0055749F" w:rsidRPr="004368B2">
        <w:rPr>
          <w:rFonts w:cstheme="minorHAnsi"/>
          <w:b/>
          <w:highlight w:val="yellow"/>
        </w:rPr>
        <w:t>client stor</w:t>
      </w:r>
      <w:r w:rsidR="0055749F">
        <w:rPr>
          <w:rFonts w:cstheme="minorHAnsi"/>
          <w:b/>
          <w:highlight w:val="yellow"/>
        </w:rPr>
        <w:t>y and a</w:t>
      </w:r>
      <w:r w:rsidR="00CB2E16" w:rsidRPr="00D37D8F">
        <w:rPr>
          <w:rFonts w:cstheme="minorHAnsi"/>
          <w:b/>
          <w:highlight w:val="yellow"/>
        </w:rPr>
        <w:t>dd facts showing effect of “unenforced” laws</w:t>
      </w:r>
      <w:r w:rsidR="002B0EA4" w:rsidRPr="00D37D8F">
        <w:rPr>
          <w:rFonts w:cstheme="minorHAnsi"/>
          <w:b/>
          <w:highlight w:val="yellow"/>
        </w:rPr>
        <w:t xml:space="preserve"> in other countries</w:t>
      </w:r>
      <w:r w:rsidR="00CB2E16" w:rsidRPr="00D37D8F">
        <w:rPr>
          <w:rFonts w:cstheme="minorHAnsi"/>
          <w:b/>
          <w:highlight w:val="yellow"/>
        </w:rPr>
        <w:t>]</w:t>
      </w:r>
    </w:p>
    <w:p w14:paraId="768342A0" w14:textId="55643E9C" w:rsidR="00A40C95" w:rsidRPr="00352F4C" w:rsidRDefault="00A40C95" w:rsidP="00DA0656">
      <w:pPr>
        <w:pStyle w:val="Heading2"/>
        <w:rPr>
          <w:rFonts w:cstheme="minorHAnsi"/>
        </w:rPr>
      </w:pPr>
      <w:r w:rsidRPr="00352F4C">
        <w:rPr>
          <w:rFonts w:cstheme="minorHAnsi"/>
        </w:rPr>
        <w:t xml:space="preserve">The Proposed Rule </w:t>
      </w:r>
      <w:r w:rsidR="00D37D8F" w:rsidRPr="00352F4C">
        <w:rPr>
          <w:rFonts w:cstheme="minorHAnsi"/>
        </w:rPr>
        <w:t>would exclude evidence that asylum seekers need to support their claims</w:t>
      </w:r>
      <w:r w:rsidR="00D37D8F">
        <w:rPr>
          <w:rFonts w:cstheme="minorHAnsi"/>
        </w:rPr>
        <w:t>.</w:t>
      </w:r>
    </w:p>
    <w:p w14:paraId="249FE7BE" w14:textId="77777777" w:rsidR="00A40C95" w:rsidRPr="00352F4C" w:rsidRDefault="00A40C95" w:rsidP="00A40C95">
      <w:pPr>
        <w:rPr>
          <w:rFonts w:cstheme="minorHAnsi"/>
        </w:rPr>
      </w:pPr>
    </w:p>
    <w:p w14:paraId="258A21FE" w14:textId="490BC4E2" w:rsidR="00A40C95" w:rsidRDefault="00A40C95" w:rsidP="00DA0656">
      <w:pPr>
        <w:ind w:firstLine="720"/>
        <w:rPr>
          <w:rFonts w:cstheme="minorHAnsi"/>
        </w:rPr>
      </w:pPr>
      <w:r w:rsidRPr="00352F4C">
        <w:rPr>
          <w:rFonts w:cstheme="minorHAnsi"/>
        </w:rPr>
        <w:lastRenderedPageBreak/>
        <w:t xml:space="preserve">The </w:t>
      </w:r>
      <w:r w:rsidR="00BF7D85" w:rsidRPr="00352F4C">
        <w:rPr>
          <w:rFonts w:cstheme="minorHAnsi"/>
        </w:rPr>
        <w:t>P</w:t>
      </w:r>
      <w:r w:rsidRPr="00352F4C">
        <w:rPr>
          <w:rFonts w:cstheme="minorHAnsi"/>
        </w:rPr>
        <w:t xml:space="preserve">roposed </w:t>
      </w:r>
      <w:r w:rsidR="00BF7D85" w:rsidRPr="00352F4C">
        <w:rPr>
          <w:rFonts w:cstheme="minorHAnsi"/>
        </w:rPr>
        <w:t>R</w:t>
      </w:r>
      <w:r w:rsidRPr="00352F4C">
        <w:rPr>
          <w:rFonts w:cstheme="minorHAnsi"/>
        </w:rPr>
        <w:t>ule</w:t>
      </w:r>
      <w:r w:rsidR="008A3A22" w:rsidRPr="00352F4C">
        <w:rPr>
          <w:rFonts w:cstheme="minorHAnsi"/>
        </w:rPr>
        <w:t xml:space="preserve"> would bar consideration of evidence based on </w:t>
      </w:r>
      <w:r w:rsidRPr="00352F4C">
        <w:rPr>
          <w:rFonts w:cstheme="minorHAnsi"/>
        </w:rPr>
        <w:t xml:space="preserve">“cultural stereotypes.” This term is not defined, however, </w:t>
      </w:r>
      <w:r w:rsidR="00D37D8F">
        <w:rPr>
          <w:rFonts w:cstheme="minorHAnsi"/>
        </w:rPr>
        <w:t xml:space="preserve">and </w:t>
      </w:r>
      <w:r w:rsidR="008A3A22" w:rsidRPr="00352F4C">
        <w:rPr>
          <w:rFonts w:cstheme="minorHAnsi"/>
        </w:rPr>
        <w:t xml:space="preserve">virtually all LGBTQ/H </w:t>
      </w:r>
      <w:r w:rsidRPr="00352F4C">
        <w:rPr>
          <w:rFonts w:cstheme="minorHAnsi"/>
        </w:rPr>
        <w:t xml:space="preserve">asylum applications rely on evidence of </w:t>
      </w:r>
      <w:r w:rsidR="00AA7D45">
        <w:rPr>
          <w:rFonts w:cstheme="minorHAnsi"/>
        </w:rPr>
        <w:t>cultural attitudes toward LGBTQ/H people in</w:t>
      </w:r>
      <w:r w:rsidRPr="00352F4C">
        <w:rPr>
          <w:rFonts w:cstheme="minorHAnsi"/>
        </w:rPr>
        <w:t xml:space="preserve"> the</w:t>
      </w:r>
      <w:r w:rsidR="008A3A22" w:rsidRPr="00352F4C">
        <w:rPr>
          <w:rFonts w:cstheme="minorHAnsi"/>
        </w:rPr>
        <w:t>ir</w:t>
      </w:r>
      <w:r w:rsidRPr="00352F4C">
        <w:rPr>
          <w:rFonts w:cstheme="minorHAnsi"/>
        </w:rPr>
        <w:t xml:space="preserve"> country of origin. </w:t>
      </w:r>
      <w:r w:rsidR="00201AE3" w:rsidRPr="00352F4C">
        <w:rPr>
          <w:rFonts w:cstheme="minorHAnsi"/>
        </w:rPr>
        <w:t>This evidence is probative, relevant, and widely accepted as reliable by adjudicators. The Proposed Rule offers no rationale for why such evidence should be excluded. Further, i</w:t>
      </w:r>
      <w:r w:rsidRPr="00352F4C">
        <w:rPr>
          <w:rFonts w:cstheme="minorHAnsi"/>
        </w:rPr>
        <w:t xml:space="preserve">t is difficult to imagine how evidence about </w:t>
      </w:r>
      <w:r w:rsidR="008A3A22" w:rsidRPr="00352F4C">
        <w:rPr>
          <w:rFonts w:cstheme="minorHAnsi"/>
        </w:rPr>
        <w:t xml:space="preserve">cultural </w:t>
      </w:r>
      <w:r w:rsidRPr="00352F4C">
        <w:rPr>
          <w:rFonts w:cstheme="minorHAnsi"/>
        </w:rPr>
        <w:t xml:space="preserve">attitudes towards </w:t>
      </w:r>
      <w:r w:rsidR="008A3A22" w:rsidRPr="00352F4C">
        <w:rPr>
          <w:rFonts w:cstheme="minorHAnsi"/>
        </w:rPr>
        <w:t>LGBTQ/H people</w:t>
      </w:r>
      <w:r w:rsidRPr="00352F4C">
        <w:rPr>
          <w:rFonts w:cstheme="minorHAnsi"/>
        </w:rPr>
        <w:t xml:space="preserve"> would not include some cultural stereotypes, especially </w:t>
      </w:r>
      <w:r w:rsidR="008A3A22" w:rsidRPr="00352F4C">
        <w:rPr>
          <w:rFonts w:cstheme="minorHAnsi"/>
        </w:rPr>
        <w:t>where an LGBTQ/H asylum seeker must establish that their PSG m</w:t>
      </w:r>
      <w:r w:rsidRPr="00352F4C">
        <w:rPr>
          <w:rFonts w:cstheme="minorHAnsi"/>
        </w:rPr>
        <w:t>eets the definitions of particularity and social distinct</w:t>
      </w:r>
      <w:r w:rsidR="00FB0B9C">
        <w:rPr>
          <w:rFonts w:cstheme="minorHAnsi"/>
        </w:rPr>
        <w:t>ion.</w:t>
      </w:r>
      <w:r w:rsidR="00F37309" w:rsidRPr="00352F4C">
        <w:rPr>
          <w:rStyle w:val="FootnoteReference"/>
          <w:rFonts w:cstheme="minorHAnsi"/>
        </w:rPr>
        <w:footnoteReference w:id="33"/>
      </w:r>
      <w:r w:rsidRPr="00352F4C">
        <w:rPr>
          <w:rFonts w:cstheme="minorHAnsi"/>
        </w:rPr>
        <w:t xml:space="preserve">  </w:t>
      </w:r>
      <w:r w:rsidR="008A3A22" w:rsidRPr="00352F4C">
        <w:rPr>
          <w:rFonts w:cstheme="minorHAnsi"/>
        </w:rPr>
        <w:t>This provision of the Proposed Rule would likely prevent LGBTQ/H asylum seekers from submitting crucial country conditions evidence necessary to establish their claim</w:t>
      </w:r>
      <w:r w:rsidR="00F37309" w:rsidRPr="00352F4C">
        <w:rPr>
          <w:rFonts w:cstheme="minorHAnsi"/>
        </w:rPr>
        <w:t xml:space="preserve"> </w:t>
      </w:r>
      <w:r w:rsidR="00201AE3" w:rsidRPr="00352F4C">
        <w:rPr>
          <w:rFonts w:cstheme="minorHAnsi"/>
        </w:rPr>
        <w:t xml:space="preserve">and to </w:t>
      </w:r>
      <w:r w:rsidR="00F37309" w:rsidRPr="00352F4C">
        <w:rPr>
          <w:rFonts w:cstheme="minorHAnsi"/>
        </w:rPr>
        <w:t xml:space="preserve">show </w:t>
      </w:r>
      <w:r w:rsidR="008A3A22" w:rsidRPr="00352F4C">
        <w:rPr>
          <w:rFonts w:cstheme="minorHAnsi"/>
        </w:rPr>
        <w:t>why they cannot safely relocate to another part of their country. As a result, asylum seekers</w:t>
      </w:r>
      <w:r w:rsidR="00201AE3" w:rsidRPr="00352F4C">
        <w:rPr>
          <w:rFonts w:cstheme="minorHAnsi"/>
        </w:rPr>
        <w:t xml:space="preserve"> </w:t>
      </w:r>
      <w:r w:rsidR="008A3A22" w:rsidRPr="00352F4C">
        <w:rPr>
          <w:rFonts w:cstheme="minorHAnsi"/>
        </w:rPr>
        <w:t>will be precluded from submitting materials that have long been accepted</w:t>
      </w:r>
      <w:r w:rsidR="00150C37" w:rsidRPr="00352F4C">
        <w:rPr>
          <w:rFonts w:cstheme="minorHAnsi"/>
        </w:rPr>
        <w:t>,</w:t>
      </w:r>
      <w:r w:rsidR="008A3A22" w:rsidRPr="00352F4C">
        <w:rPr>
          <w:rFonts w:cstheme="minorHAnsi"/>
        </w:rPr>
        <w:t xml:space="preserve"> </w:t>
      </w:r>
      <w:r w:rsidR="00150C37" w:rsidRPr="00352F4C">
        <w:rPr>
          <w:rFonts w:cstheme="minorHAnsi"/>
        </w:rPr>
        <w:t>and considered to be essential, by</w:t>
      </w:r>
      <w:r w:rsidR="008A3A22" w:rsidRPr="00352F4C">
        <w:rPr>
          <w:rFonts w:cstheme="minorHAnsi"/>
        </w:rPr>
        <w:t xml:space="preserve"> adjudicators.</w:t>
      </w:r>
    </w:p>
    <w:p w14:paraId="6BB965C5" w14:textId="428239D7" w:rsidR="00FB0B9C" w:rsidRDefault="00FB0B9C" w:rsidP="00DA0656">
      <w:pPr>
        <w:ind w:firstLine="720"/>
        <w:rPr>
          <w:rFonts w:cstheme="minorHAnsi"/>
        </w:rPr>
      </w:pPr>
    </w:p>
    <w:p w14:paraId="18F1CFF0" w14:textId="165FECD7" w:rsidR="00FB0B9C" w:rsidRPr="00352F4C" w:rsidRDefault="00FB0B9C" w:rsidP="00DA0656">
      <w:pPr>
        <w:ind w:firstLine="720"/>
        <w:rPr>
          <w:rFonts w:cstheme="minorHAnsi"/>
        </w:rPr>
      </w:pPr>
      <w:r w:rsidRPr="00FB0B9C">
        <w:rPr>
          <w:rFonts w:cstheme="minorHAnsi"/>
          <w:highlight w:val="yellow"/>
        </w:rPr>
        <w:t>[Provide examples of the type of evidence included and why it is necessary.  Consider includ</w:t>
      </w:r>
      <w:r w:rsidR="0055749F">
        <w:rPr>
          <w:rFonts w:cstheme="minorHAnsi"/>
          <w:highlight w:val="yellow"/>
        </w:rPr>
        <w:t>ing</w:t>
      </w:r>
      <w:r w:rsidRPr="00FB0B9C">
        <w:rPr>
          <w:rFonts w:cstheme="minorHAnsi"/>
          <w:highlight w:val="yellow"/>
        </w:rPr>
        <w:t xml:space="preserve"> country conditions packets as examples.  Be sure to link to them or include PDFs as part of your comments and indicate that the Agencies should review and incorporate </w:t>
      </w:r>
      <w:r w:rsidR="0055749F">
        <w:rPr>
          <w:rFonts w:cstheme="minorHAnsi"/>
          <w:highlight w:val="yellow"/>
        </w:rPr>
        <w:t xml:space="preserve">them </w:t>
      </w:r>
      <w:r w:rsidRPr="00FB0B9C">
        <w:rPr>
          <w:rFonts w:cstheme="minorHAnsi"/>
          <w:highlight w:val="yellow"/>
        </w:rPr>
        <w:t xml:space="preserve">into the record.  For sample LGBTQ country conditions materials that you can attach as examples to your submission, see Immigration Equalities website:  </w:t>
      </w:r>
      <w:hyperlink r:id="rId11" w:history="1">
        <w:r w:rsidRPr="00FB0B9C">
          <w:rPr>
            <w:rStyle w:val="Hyperlink"/>
            <w:highlight w:val="yellow"/>
          </w:rPr>
          <w:t>https://immigrationequality.org/legal/legal-help/resources/country-conditions-index/</w:t>
        </w:r>
      </w:hyperlink>
      <w:r w:rsidRPr="00FB0B9C">
        <w:rPr>
          <w:highlight w:val="yellow"/>
        </w:rPr>
        <w:t>.]</w:t>
      </w:r>
      <w:r>
        <w:t xml:space="preserve"> </w:t>
      </w:r>
      <w:r>
        <w:rPr>
          <w:rFonts w:cstheme="minorHAnsi"/>
        </w:rPr>
        <w:t xml:space="preserve"> </w:t>
      </w:r>
    </w:p>
    <w:p w14:paraId="5CCCE01C" w14:textId="77777777" w:rsidR="00A40C95" w:rsidRPr="00352F4C" w:rsidRDefault="00A40C95" w:rsidP="00A40C95">
      <w:pPr>
        <w:rPr>
          <w:rFonts w:cstheme="minorHAnsi"/>
        </w:rPr>
      </w:pPr>
    </w:p>
    <w:p w14:paraId="534306FD" w14:textId="7D4D51D5" w:rsidR="00E66F07" w:rsidRPr="001A48A6" w:rsidRDefault="00E66F07" w:rsidP="00E66F07">
      <w:pPr>
        <w:pStyle w:val="Heading2"/>
        <w:rPr>
          <w:rFonts w:cstheme="minorHAnsi"/>
        </w:rPr>
      </w:pPr>
      <w:r w:rsidRPr="001A48A6">
        <w:rPr>
          <w:rFonts w:cstheme="minorHAnsi"/>
        </w:rPr>
        <w:t xml:space="preserve">The </w:t>
      </w:r>
      <w:r w:rsidR="00AA7D45">
        <w:rPr>
          <w:rFonts w:cstheme="minorHAnsi"/>
        </w:rPr>
        <w:t>p</w:t>
      </w:r>
      <w:r w:rsidRPr="001A48A6">
        <w:rPr>
          <w:rFonts w:cstheme="minorHAnsi"/>
        </w:rPr>
        <w:t xml:space="preserve">roposed </w:t>
      </w:r>
      <w:r w:rsidR="00AA7D45">
        <w:rPr>
          <w:rFonts w:cstheme="minorHAnsi"/>
        </w:rPr>
        <w:t>d</w:t>
      </w:r>
      <w:r w:rsidRPr="001A48A6">
        <w:rPr>
          <w:rFonts w:cstheme="minorHAnsi"/>
        </w:rPr>
        <w:t xml:space="preserve">iscretionary </w:t>
      </w:r>
      <w:r w:rsidR="00AA7D45">
        <w:rPr>
          <w:rFonts w:cstheme="minorHAnsi"/>
        </w:rPr>
        <w:t>f</w:t>
      </w:r>
      <w:r w:rsidRPr="001A48A6">
        <w:rPr>
          <w:rFonts w:cstheme="minorHAnsi"/>
        </w:rPr>
        <w:t xml:space="preserve">actors </w:t>
      </w:r>
      <w:r w:rsidR="00AA7D45">
        <w:rPr>
          <w:rFonts w:cstheme="minorHAnsi"/>
        </w:rPr>
        <w:t>a</w:t>
      </w:r>
      <w:r w:rsidRPr="001A48A6">
        <w:rPr>
          <w:rFonts w:cstheme="minorHAnsi"/>
        </w:rPr>
        <w:t xml:space="preserve">re </w:t>
      </w:r>
      <w:r w:rsidR="00AA7D45">
        <w:rPr>
          <w:rFonts w:cstheme="minorHAnsi"/>
        </w:rPr>
        <w:t>p</w:t>
      </w:r>
      <w:r w:rsidRPr="001A48A6">
        <w:rPr>
          <w:rFonts w:cstheme="minorHAnsi"/>
        </w:rPr>
        <w:t xml:space="preserve">rejudicial and </w:t>
      </w:r>
      <w:r w:rsidR="00AA7D45">
        <w:rPr>
          <w:rFonts w:cstheme="minorHAnsi"/>
        </w:rPr>
        <w:t>n</w:t>
      </w:r>
      <w:r w:rsidRPr="001A48A6">
        <w:rPr>
          <w:rFonts w:cstheme="minorHAnsi"/>
        </w:rPr>
        <w:t xml:space="preserve">ot </w:t>
      </w:r>
      <w:r w:rsidR="00AA7D45">
        <w:rPr>
          <w:rFonts w:cstheme="minorHAnsi"/>
        </w:rPr>
        <w:t>d</w:t>
      </w:r>
      <w:r w:rsidRPr="001A48A6">
        <w:rPr>
          <w:rFonts w:cstheme="minorHAnsi"/>
        </w:rPr>
        <w:t>iscretionary</w:t>
      </w:r>
      <w:r w:rsidR="00AA7D45">
        <w:rPr>
          <w:rFonts w:cstheme="minorHAnsi"/>
        </w:rPr>
        <w:t>.</w:t>
      </w:r>
    </w:p>
    <w:p w14:paraId="4D6FEA7B" w14:textId="77777777" w:rsidR="00E66F07" w:rsidRPr="001A48A6" w:rsidRDefault="00E66F07" w:rsidP="00E66F07">
      <w:pPr>
        <w:pStyle w:val="BodyText"/>
        <w:rPr>
          <w:rFonts w:cstheme="minorHAnsi"/>
        </w:rPr>
      </w:pPr>
      <w:r w:rsidRPr="001A48A6">
        <w:rPr>
          <w:rFonts w:cstheme="minorHAnsi"/>
        </w:rPr>
        <w:t xml:space="preserve">In addition to meeting the legal standard, asylum seekers must merit a favorable exercise of discretion.  </w:t>
      </w:r>
      <w:r w:rsidRPr="001A48A6">
        <w:rPr>
          <w:rFonts w:cstheme="minorHAnsi"/>
          <w:i/>
        </w:rPr>
        <w:t>See</w:t>
      </w:r>
      <w:r w:rsidRPr="001A48A6">
        <w:rPr>
          <w:rFonts w:cstheme="minorHAnsi"/>
        </w:rPr>
        <w:t xml:space="preserve"> 9 U.S.C. § 1158(b)(1)(A); </w:t>
      </w:r>
      <w:r w:rsidRPr="001A48A6">
        <w:rPr>
          <w:rFonts w:cstheme="minorHAnsi"/>
          <w:i/>
        </w:rPr>
        <w:t>INS v. Cardoza-Fonseca</w:t>
      </w:r>
      <w:r w:rsidRPr="001A48A6">
        <w:rPr>
          <w:rFonts w:cstheme="minorHAnsi"/>
        </w:rPr>
        <w:t xml:space="preserve">, 480 U.S. 421, 423 (1987).  Because “the danger of persecution should generally outweigh all but the most egregious of adverse factors,” discretionary factors “should not be considered in a way that the practical effect is to deny relief in virtually all cases.”  </w:t>
      </w:r>
      <w:r w:rsidRPr="001A48A6">
        <w:rPr>
          <w:rFonts w:cstheme="minorHAnsi"/>
          <w:i/>
        </w:rPr>
        <w:t>In re Pula</w:t>
      </w:r>
      <w:r w:rsidRPr="001A48A6">
        <w:rPr>
          <w:rFonts w:cstheme="minorHAnsi"/>
        </w:rPr>
        <w:t xml:space="preserve">, 19 I. &amp; N. 467, 473–74 (B.I.A. 1987). However, the Proposed Rule does precisely that.  Breaking with over thirty years of case law, the Proposed Rule </w:t>
      </w:r>
      <w:r>
        <w:rPr>
          <w:rFonts w:cstheme="minorHAnsi"/>
        </w:rPr>
        <w:t>r</w:t>
      </w:r>
      <w:r w:rsidRPr="001A48A6">
        <w:rPr>
          <w:rFonts w:cstheme="minorHAnsi"/>
        </w:rPr>
        <w:t xml:space="preserve">ejects long-established discretionary considerations such as ties to the United States, living conditions, safety, potential for long-term residency in a third country, and general humanitarian considerations.  </w:t>
      </w:r>
      <w:r w:rsidRPr="001A48A6">
        <w:rPr>
          <w:rFonts w:cstheme="minorHAnsi"/>
          <w:i/>
        </w:rPr>
        <w:t>See</w:t>
      </w:r>
      <w:r w:rsidRPr="001A48A6">
        <w:rPr>
          <w:rFonts w:cstheme="minorHAnsi"/>
        </w:rPr>
        <w:t xml:space="preserve"> </w:t>
      </w:r>
      <w:r w:rsidRPr="001A48A6">
        <w:rPr>
          <w:rFonts w:cstheme="minorHAnsi"/>
          <w:i/>
        </w:rPr>
        <w:t>In re Pula</w:t>
      </w:r>
      <w:r w:rsidRPr="001A48A6">
        <w:rPr>
          <w:rFonts w:cstheme="minorHAnsi"/>
        </w:rPr>
        <w:t xml:space="preserve">, 19 I. &amp; N. at 473–74. </w:t>
      </w:r>
    </w:p>
    <w:p w14:paraId="598350F7" w14:textId="77777777" w:rsidR="00E66F07" w:rsidRPr="001A48A6" w:rsidRDefault="00E66F07" w:rsidP="00E66F07">
      <w:pPr>
        <w:pStyle w:val="BodyText"/>
        <w:rPr>
          <w:rFonts w:cstheme="minorHAnsi"/>
        </w:rPr>
      </w:pPr>
      <w:r w:rsidRPr="001A48A6">
        <w:rPr>
          <w:rFonts w:cstheme="minorHAnsi"/>
        </w:rPr>
        <w:t xml:space="preserve">In their place are a set of </w:t>
      </w:r>
      <w:r w:rsidRPr="001A48A6">
        <w:rPr>
          <w:rFonts w:cstheme="minorHAnsi"/>
          <w:u w:val="single"/>
        </w:rPr>
        <w:t>twelve</w:t>
      </w:r>
      <w:r w:rsidRPr="001A48A6">
        <w:rPr>
          <w:rFonts w:cstheme="minorHAnsi"/>
        </w:rPr>
        <w:t xml:space="preserve"> factors that severely curtail the discretion of adjudicators in granting asylum. </w:t>
      </w:r>
      <w:r>
        <w:rPr>
          <w:rFonts w:cstheme="minorHAnsi"/>
        </w:rPr>
        <w:t xml:space="preserve"> </w:t>
      </w:r>
      <w:r w:rsidRPr="001A48A6">
        <w:rPr>
          <w:rFonts w:cstheme="minorHAnsi"/>
        </w:rPr>
        <w:t xml:space="preserve">Many of these factors have nothing to do with the merits of a claim, and would result in the denial of asylum for LGBTQ/H applicants with meritorious cases.  </w:t>
      </w:r>
      <w:r>
        <w:rPr>
          <w:rFonts w:cstheme="minorHAnsi"/>
        </w:rPr>
        <w:t xml:space="preserve">The Proposed Rule also strips the exercise of discretion out of the hands of adjudicators, who are best equipped to weigh the totality of a person’s equities. As such, the provisions should be rescinded in their entirety. </w:t>
      </w:r>
    </w:p>
    <w:p w14:paraId="1DC5FD3B" w14:textId="77777777" w:rsidR="00E66F07" w:rsidRPr="001A48A6" w:rsidRDefault="00E66F07" w:rsidP="00E66F07">
      <w:pPr>
        <w:pStyle w:val="BodyText"/>
        <w:rPr>
          <w:rFonts w:cstheme="minorHAnsi"/>
        </w:rPr>
      </w:pPr>
      <w:r w:rsidRPr="001A48A6">
        <w:rPr>
          <w:rFonts w:cstheme="minorHAnsi"/>
          <w:b/>
          <w:u w:val="single"/>
        </w:rPr>
        <w:t>Entry without inspection</w:t>
      </w:r>
      <w:r>
        <w:rPr>
          <w:rFonts w:cstheme="minorHAnsi"/>
          <w:b/>
          <w:u w:val="single"/>
        </w:rPr>
        <w:t>.</w:t>
      </w:r>
      <w:r w:rsidRPr="001A48A6">
        <w:rPr>
          <w:rFonts w:cstheme="minorHAnsi"/>
        </w:rPr>
        <w:t xml:space="preserve">  </w:t>
      </w:r>
      <w:r>
        <w:rPr>
          <w:rFonts w:cstheme="minorHAnsi"/>
        </w:rPr>
        <w:t>The Proposed Rule instructs adjudicators to deny asylum to</w:t>
      </w:r>
      <w:r w:rsidRPr="001A48A6">
        <w:rPr>
          <w:rFonts w:cstheme="minorHAnsi"/>
        </w:rPr>
        <w:t xml:space="preserve"> an </w:t>
      </w:r>
      <w:r>
        <w:rPr>
          <w:rFonts w:cstheme="minorHAnsi"/>
        </w:rPr>
        <w:t>applicant</w:t>
      </w:r>
      <w:r w:rsidRPr="001A48A6">
        <w:rPr>
          <w:rFonts w:cstheme="minorHAnsi"/>
        </w:rPr>
        <w:t xml:space="preserve"> who enters the United States without inspection.  This is in </w:t>
      </w:r>
      <w:r>
        <w:rPr>
          <w:rFonts w:cstheme="minorHAnsi"/>
        </w:rPr>
        <w:t xml:space="preserve">blatant </w:t>
      </w:r>
      <w:r w:rsidRPr="001A48A6">
        <w:rPr>
          <w:rFonts w:cstheme="minorHAnsi"/>
        </w:rPr>
        <w:t xml:space="preserve">violation of the INA, which provides that an applicant “who arrives in the United States </w:t>
      </w:r>
      <w:r w:rsidRPr="001A48A6">
        <w:rPr>
          <w:rFonts w:cstheme="minorHAnsi"/>
          <w:b/>
          <w:i/>
        </w:rPr>
        <w:t>(whether or not at a designated port of arrival)</w:t>
      </w:r>
      <w:r w:rsidRPr="001A48A6">
        <w:rPr>
          <w:rFonts w:cstheme="minorHAnsi"/>
          <w:i/>
        </w:rPr>
        <w:t>,</w:t>
      </w:r>
      <w:r w:rsidRPr="001A48A6">
        <w:rPr>
          <w:rFonts w:cstheme="minorHAnsi"/>
        </w:rPr>
        <w:t xml:space="preserve"> irrespective of such alien’s status, may apply for asylum.”  8 U.S.C. § 1158(a)(1) (emphasis added).  The discretionary factor also runs contrary to established </w:t>
      </w:r>
      <w:r w:rsidRPr="001A48A6">
        <w:rPr>
          <w:rFonts w:cstheme="minorHAnsi"/>
        </w:rPr>
        <w:lastRenderedPageBreak/>
        <w:t xml:space="preserve">caselaw. Under </w:t>
      </w:r>
      <w:r w:rsidRPr="001A48A6">
        <w:rPr>
          <w:rFonts w:cstheme="minorHAnsi"/>
          <w:i/>
        </w:rPr>
        <w:t>In re Pula</w:t>
      </w:r>
      <w:r w:rsidRPr="001A48A6">
        <w:rPr>
          <w:rFonts w:cstheme="minorHAnsi"/>
        </w:rPr>
        <w:t xml:space="preserve"> the court found that manner of entry is a factor that “should not be considered in such a way that the practical effect is to deny relief in virtually all cases.”  </w:t>
      </w:r>
      <w:r w:rsidRPr="001A48A6">
        <w:rPr>
          <w:rFonts w:cstheme="minorHAnsi"/>
          <w:i/>
        </w:rPr>
        <w:t>In re Pula</w:t>
      </w:r>
      <w:r w:rsidRPr="001A48A6">
        <w:rPr>
          <w:rFonts w:cstheme="minorHAnsi"/>
        </w:rPr>
        <w:t>, 19 I. &amp; N. at 473–74. Yet this appears to be precisely what the Proposed Rule is designed to do.</w:t>
      </w:r>
    </w:p>
    <w:p w14:paraId="0888040F" w14:textId="77777777" w:rsidR="00AA7D45" w:rsidRDefault="00E66F07" w:rsidP="00E66F07">
      <w:pPr>
        <w:pStyle w:val="BodyText"/>
        <w:rPr>
          <w:rFonts w:cstheme="minorHAnsi"/>
        </w:rPr>
      </w:pPr>
      <w:r w:rsidRPr="001A48A6">
        <w:rPr>
          <w:rFonts w:cstheme="minorHAnsi"/>
        </w:rPr>
        <w:t xml:space="preserve">Furthermore, the Proposed Rule’s narrow exception for entry without inspection “made in immediate flight from persecution or torture in a contiguous country” is so narrow that it is absurd.  Forcing LGBTQ asylum seekers to await permission to enter the United States is also untenable. The so called “Remain in Mexico” policy clearly illustrates this danger. </w:t>
      </w:r>
    </w:p>
    <w:p w14:paraId="4F9090AE" w14:textId="4C624F45" w:rsidR="00E66F07" w:rsidRPr="001A48A6" w:rsidRDefault="00AA7D45" w:rsidP="00E66F07">
      <w:pPr>
        <w:pStyle w:val="BodyText"/>
        <w:rPr>
          <w:rFonts w:cstheme="minorHAnsi"/>
        </w:rPr>
      </w:pPr>
      <w:r w:rsidRPr="00AA7D45">
        <w:rPr>
          <w:rFonts w:cstheme="minorHAnsi"/>
          <w:highlight w:val="yellow"/>
        </w:rPr>
        <w:t xml:space="preserve">[Provide relevant examples/client stories, for example: </w:t>
      </w:r>
      <w:r w:rsidR="00E66F07" w:rsidRPr="00AA7D45">
        <w:rPr>
          <w:rFonts w:cstheme="minorHAnsi"/>
          <w:highlight w:val="yellow"/>
        </w:rPr>
        <w:t>In Mexico in 2018, armed men robbed and burned a shelter for transgender people from Central America who were waiting for permission to enter the U.S. to file asylum claims.</w:t>
      </w:r>
      <w:r w:rsidR="00E66F07" w:rsidRPr="00AA7D45">
        <w:rPr>
          <w:rStyle w:val="FootnoteReference"/>
          <w:rFonts w:cstheme="minorHAnsi"/>
          <w:highlight w:val="yellow"/>
        </w:rPr>
        <w:footnoteReference w:id="34"/>
      </w:r>
      <w:r w:rsidRPr="00AA7D45">
        <w:rPr>
          <w:rFonts w:cstheme="minorHAnsi"/>
          <w:highlight w:val="yellow"/>
        </w:rPr>
        <w:t>]</w:t>
      </w:r>
      <w:r w:rsidR="00E66F07" w:rsidRPr="001A48A6">
        <w:rPr>
          <w:rFonts w:cstheme="minorHAnsi"/>
        </w:rPr>
        <w:t xml:space="preserve">  </w:t>
      </w:r>
    </w:p>
    <w:p w14:paraId="780B51A7" w14:textId="09CD72E9" w:rsidR="00E66F07" w:rsidRPr="001A48A6" w:rsidRDefault="00E66F07" w:rsidP="00E66F07">
      <w:pPr>
        <w:pStyle w:val="BodyText"/>
        <w:rPr>
          <w:rFonts w:cstheme="minorHAnsi"/>
        </w:rPr>
      </w:pPr>
      <w:r w:rsidRPr="001A48A6">
        <w:rPr>
          <w:rFonts w:cstheme="minorHAnsi"/>
          <w:b/>
          <w:u w:val="single"/>
        </w:rPr>
        <w:t>Failure to seek protection in country of transit</w:t>
      </w:r>
      <w:r w:rsidRPr="001A48A6">
        <w:rPr>
          <w:rFonts w:cstheme="minorHAnsi"/>
        </w:rPr>
        <w:t>.  The Proposed Rule enforces three “layover rules” that punish refugees for traveling to the United States in search of asylum.  Adjudicators</w:t>
      </w:r>
      <w:r>
        <w:rPr>
          <w:rFonts w:cstheme="minorHAnsi"/>
        </w:rPr>
        <w:t xml:space="preserve"> are </w:t>
      </w:r>
      <w:r w:rsidR="00AA7D45">
        <w:rPr>
          <w:rFonts w:cstheme="minorHAnsi"/>
        </w:rPr>
        <w:t xml:space="preserve">essentially </w:t>
      </w:r>
      <w:r>
        <w:rPr>
          <w:rFonts w:cstheme="minorHAnsi"/>
        </w:rPr>
        <w:t xml:space="preserve">instructed to deny cases if </w:t>
      </w:r>
      <w:r w:rsidRPr="001A48A6">
        <w:rPr>
          <w:rFonts w:cstheme="minorHAnsi"/>
        </w:rPr>
        <w:t xml:space="preserve">an asylum seeker </w:t>
      </w:r>
      <w:r>
        <w:rPr>
          <w:rFonts w:cstheme="minorHAnsi"/>
        </w:rPr>
        <w:t>passed through another country on the way to the U.S. and did not</w:t>
      </w:r>
      <w:r w:rsidRPr="001A48A6">
        <w:rPr>
          <w:rFonts w:cstheme="minorHAnsi"/>
        </w:rPr>
        <w:t xml:space="preserve"> seek protection</w:t>
      </w:r>
      <w:r>
        <w:rPr>
          <w:rFonts w:cstheme="minorHAnsi"/>
        </w:rPr>
        <w:t xml:space="preserve"> there, or if an applicant has stayed i</w:t>
      </w:r>
      <w:r w:rsidRPr="001A48A6">
        <w:rPr>
          <w:rFonts w:cstheme="minorHAnsi"/>
        </w:rPr>
        <w:t xml:space="preserve">n a single country for </w:t>
      </w:r>
      <w:r>
        <w:rPr>
          <w:rFonts w:cstheme="minorHAnsi"/>
        </w:rPr>
        <w:t>more than</w:t>
      </w:r>
      <w:r w:rsidRPr="001A48A6">
        <w:rPr>
          <w:rFonts w:cstheme="minorHAnsi"/>
        </w:rPr>
        <w:t xml:space="preserve"> 14 days.</w:t>
      </w:r>
      <w:r>
        <w:rPr>
          <w:rFonts w:cstheme="minorHAnsi"/>
        </w:rPr>
        <w:t xml:space="preserve"> Even if other nations had the capacity and resources to process asylum cases, which many do not, these rules make LGBTQ refugees unsafe. M</w:t>
      </w:r>
      <w:r w:rsidRPr="001A48A6">
        <w:rPr>
          <w:rFonts w:cstheme="minorHAnsi"/>
        </w:rPr>
        <w:t xml:space="preserve">any countries that are commonly transited are </w:t>
      </w:r>
      <w:r>
        <w:rPr>
          <w:rFonts w:cstheme="minorHAnsi"/>
        </w:rPr>
        <w:t xml:space="preserve">as dangerous </w:t>
      </w:r>
      <w:r w:rsidRPr="001A48A6">
        <w:rPr>
          <w:rFonts w:cstheme="minorHAnsi"/>
        </w:rPr>
        <w:t>for LGBTQ asylum seekers</w:t>
      </w:r>
      <w:r>
        <w:rPr>
          <w:rFonts w:cstheme="minorHAnsi"/>
        </w:rPr>
        <w:t xml:space="preserve"> as their country of origin</w:t>
      </w:r>
      <w:r w:rsidRPr="001A48A6">
        <w:rPr>
          <w:rFonts w:cstheme="minorHAnsi"/>
        </w:rPr>
        <w:t xml:space="preserve">.  </w:t>
      </w:r>
      <w:r>
        <w:rPr>
          <w:rFonts w:cstheme="minorHAnsi"/>
        </w:rPr>
        <w:t>For example, LGBTQ asylum seekers from South America often pass through many Central American nations on their way to the U.S. At the same time, t</w:t>
      </w:r>
      <w:r w:rsidRPr="001A48A6">
        <w:rPr>
          <w:rFonts w:cstheme="minorHAnsi"/>
        </w:rPr>
        <w:t>he State Department reports that LGBTQ individuals in El Salvador,</w:t>
      </w:r>
      <w:r w:rsidRPr="001A48A6">
        <w:rPr>
          <w:rStyle w:val="FootnoteReference"/>
          <w:rFonts w:cstheme="minorHAnsi"/>
        </w:rPr>
        <w:footnoteReference w:id="35"/>
      </w:r>
      <w:r w:rsidRPr="001A48A6">
        <w:rPr>
          <w:rFonts w:cstheme="minorHAnsi"/>
        </w:rPr>
        <w:t xml:space="preserve"> Guatemala,</w:t>
      </w:r>
      <w:r w:rsidRPr="001A48A6">
        <w:rPr>
          <w:rStyle w:val="FootnoteReference"/>
          <w:rFonts w:cstheme="minorHAnsi"/>
        </w:rPr>
        <w:footnoteReference w:id="36"/>
      </w:r>
      <w:r w:rsidRPr="001A48A6">
        <w:rPr>
          <w:rFonts w:cstheme="minorHAnsi"/>
        </w:rPr>
        <w:t xml:space="preserve"> and Honduras</w:t>
      </w:r>
      <w:r w:rsidRPr="001A48A6">
        <w:rPr>
          <w:rStyle w:val="FootnoteReference"/>
          <w:rFonts w:cstheme="minorHAnsi"/>
        </w:rPr>
        <w:footnoteReference w:id="37"/>
      </w:r>
      <w:r w:rsidRPr="001A48A6">
        <w:rPr>
          <w:rFonts w:cstheme="minorHAnsi"/>
        </w:rPr>
        <w:t xml:space="preserve"> face social </w:t>
      </w:r>
      <w:r w:rsidRPr="001A48A6">
        <w:rPr>
          <w:rFonts w:cstheme="minorHAnsi"/>
        </w:rPr>
        <w:lastRenderedPageBreak/>
        <w:t>hostility,</w:t>
      </w:r>
      <w:r w:rsidRPr="001A48A6">
        <w:rPr>
          <w:rStyle w:val="FootnoteReference"/>
          <w:rFonts w:cstheme="minorHAnsi"/>
        </w:rPr>
        <w:footnoteReference w:id="38"/>
      </w:r>
      <w:r w:rsidRPr="001A48A6">
        <w:rPr>
          <w:rFonts w:cstheme="minorHAnsi"/>
        </w:rPr>
        <w:t xml:space="preserve"> employment and education discrimination, extortion, police and immigration agent abuse,</w:t>
      </w:r>
      <w:r w:rsidRPr="001A48A6">
        <w:rPr>
          <w:rStyle w:val="FootnoteReference"/>
          <w:rFonts w:cstheme="minorHAnsi"/>
        </w:rPr>
        <w:footnoteReference w:id="39"/>
      </w:r>
      <w:r w:rsidRPr="001A48A6">
        <w:rPr>
          <w:rFonts w:cstheme="minorHAnsi"/>
        </w:rPr>
        <w:t xml:space="preserve"> corrective rape, and murder</w:t>
      </w:r>
      <w:r>
        <w:rPr>
          <w:rFonts w:cstheme="minorHAnsi"/>
        </w:rPr>
        <w:t xml:space="preserve">. Most LGBTQ refugees cannot file for asylum in transit nations, nor is the length of their stay in such countries relevant to whether they are deserving of asylum in the U.S. </w:t>
      </w:r>
    </w:p>
    <w:p w14:paraId="654869D4" w14:textId="15825935" w:rsidR="00E66F07" w:rsidRPr="001A48A6" w:rsidRDefault="00E66F07" w:rsidP="00E66F07">
      <w:pPr>
        <w:pStyle w:val="BodyText"/>
        <w:rPr>
          <w:rFonts w:cstheme="minorHAnsi"/>
        </w:rPr>
      </w:pPr>
      <w:r w:rsidRPr="001A48A6">
        <w:rPr>
          <w:rFonts w:cstheme="minorHAnsi"/>
          <w:b/>
          <w:u w:val="single"/>
        </w:rPr>
        <w:t>Fraudulent documents</w:t>
      </w:r>
      <w:r w:rsidRPr="001A48A6">
        <w:rPr>
          <w:rFonts w:cstheme="minorHAnsi"/>
        </w:rPr>
        <w:t xml:space="preserve">.  </w:t>
      </w:r>
      <w:r>
        <w:rPr>
          <w:rFonts w:cstheme="minorHAnsi"/>
        </w:rPr>
        <w:t>With limited exceptions, t</w:t>
      </w:r>
      <w:r w:rsidRPr="001A48A6">
        <w:rPr>
          <w:rFonts w:cstheme="minorHAnsi"/>
        </w:rPr>
        <w:t xml:space="preserve">he Proposed Rule </w:t>
      </w:r>
      <w:r>
        <w:rPr>
          <w:rFonts w:cstheme="minorHAnsi"/>
        </w:rPr>
        <w:t>instructs</w:t>
      </w:r>
      <w:r w:rsidRPr="001A48A6">
        <w:rPr>
          <w:rFonts w:cstheme="minorHAnsi"/>
        </w:rPr>
        <w:t xml:space="preserve"> </w:t>
      </w:r>
      <w:r>
        <w:rPr>
          <w:rFonts w:cstheme="minorHAnsi"/>
        </w:rPr>
        <w:t>adjudicators</w:t>
      </w:r>
      <w:r w:rsidRPr="001A48A6">
        <w:rPr>
          <w:rFonts w:cstheme="minorHAnsi"/>
        </w:rPr>
        <w:t xml:space="preserve"> to deny asylum on the basis that a refugee used fraudulent documents to enter the U</w:t>
      </w:r>
      <w:r w:rsidR="00AA7D45">
        <w:rPr>
          <w:rFonts w:cstheme="minorHAnsi"/>
        </w:rPr>
        <w:t>.S</w:t>
      </w:r>
      <w:r w:rsidRPr="001A48A6">
        <w:rPr>
          <w:rFonts w:cstheme="minorHAnsi"/>
        </w:rPr>
        <w:t>.</w:t>
      </w:r>
      <w:r>
        <w:rPr>
          <w:rFonts w:cstheme="minorHAnsi"/>
        </w:rPr>
        <w:t xml:space="preserve"> However, if a refugee is fleeing for their life, obtaining official documents may not be possible. As such, </w:t>
      </w:r>
      <w:r w:rsidRPr="001A48A6">
        <w:rPr>
          <w:rFonts w:cstheme="minorHAnsi"/>
        </w:rPr>
        <w:t xml:space="preserve">case law for decades has understood the difference between a refugee who presents false documents to escape persecution and one who presents false documents </w:t>
      </w:r>
      <w:r>
        <w:rPr>
          <w:rFonts w:cstheme="minorHAnsi"/>
        </w:rPr>
        <w:t xml:space="preserve">to make a fake </w:t>
      </w:r>
      <w:r w:rsidRPr="001A48A6">
        <w:rPr>
          <w:rFonts w:cstheme="minorHAnsi"/>
        </w:rPr>
        <w:t xml:space="preserve">claim.  </w:t>
      </w:r>
      <w:r w:rsidRPr="001A48A6">
        <w:rPr>
          <w:rFonts w:cstheme="minorHAnsi"/>
          <w:i/>
        </w:rPr>
        <w:t>See In re Pula</w:t>
      </w:r>
      <w:r w:rsidRPr="001A48A6">
        <w:rPr>
          <w:rFonts w:cstheme="minorHAnsi"/>
        </w:rPr>
        <w:t xml:space="preserve">, 19 I. &amp; N. at 474; </w:t>
      </w:r>
      <w:r w:rsidRPr="001A48A6">
        <w:rPr>
          <w:rFonts w:cstheme="minorHAnsi"/>
          <w:i/>
        </w:rPr>
        <w:t>see also</w:t>
      </w:r>
      <w:r w:rsidRPr="001A48A6">
        <w:rPr>
          <w:rFonts w:cstheme="minorHAnsi"/>
        </w:rPr>
        <w:t xml:space="preserve"> </w:t>
      </w:r>
      <w:proofErr w:type="spellStart"/>
      <w:r w:rsidRPr="001A48A6">
        <w:rPr>
          <w:rFonts w:cstheme="minorHAnsi"/>
          <w:i/>
        </w:rPr>
        <w:t>Gulla</w:t>
      </w:r>
      <w:proofErr w:type="spellEnd"/>
      <w:r w:rsidRPr="001A48A6">
        <w:rPr>
          <w:rFonts w:cstheme="minorHAnsi"/>
          <w:i/>
        </w:rPr>
        <w:t xml:space="preserve"> v. Gonzales</w:t>
      </w:r>
      <w:r w:rsidRPr="001A48A6">
        <w:rPr>
          <w:rFonts w:cstheme="minorHAnsi"/>
        </w:rPr>
        <w:t xml:space="preserve">, 498 F.3d 911 (9th Cir. 2007) (“When a petitioner who fears deportation to his country of origin uses false documentation or makes false statements to gain entry to a safe haven, that deception “does not detract from but supports his claim of fear of persecution.”) (quoting </w:t>
      </w:r>
      <w:proofErr w:type="spellStart"/>
      <w:r w:rsidRPr="001A48A6">
        <w:rPr>
          <w:rFonts w:cstheme="minorHAnsi"/>
          <w:i/>
        </w:rPr>
        <w:t>Akinmade</w:t>
      </w:r>
      <w:proofErr w:type="spellEnd"/>
      <w:r w:rsidRPr="001A48A6">
        <w:rPr>
          <w:rFonts w:cstheme="minorHAnsi"/>
          <w:i/>
        </w:rPr>
        <w:t xml:space="preserve"> v. INS</w:t>
      </w:r>
      <w:r w:rsidRPr="001A48A6">
        <w:rPr>
          <w:rFonts w:cstheme="minorHAnsi"/>
        </w:rPr>
        <w:t xml:space="preserve">, 196 F.3d 951, 955 (9th Cir. 1999)). </w:t>
      </w:r>
      <w:r>
        <w:rPr>
          <w:rFonts w:cstheme="minorHAnsi"/>
        </w:rPr>
        <w:t>This provision would substantially restrict refugees’ ability to leave an unsafe situation, and result in the denial of many deserving asylum seekers</w:t>
      </w:r>
      <w:r w:rsidR="00AC5AB2">
        <w:rPr>
          <w:rFonts w:cstheme="minorHAnsi"/>
        </w:rPr>
        <w:t xml:space="preserve"> without serving any legitimate government interest. </w:t>
      </w:r>
    </w:p>
    <w:p w14:paraId="2610D517" w14:textId="31DABBAF" w:rsidR="00E66F07" w:rsidRPr="001A48A6" w:rsidRDefault="00E66F07" w:rsidP="00E66F07">
      <w:pPr>
        <w:pStyle w:val="BodyText"/>
        <w:rPr>
          <w:rFonts w:cstheme="minorHAnsi"/>
          <w:b/>
          <w:u w:val="single"/>
        </w:rPr>
      </w:pPr>
      <w:r w:rsidRPr="001A48A6">
        <w:rPr>
          <w:rFonts w:cstheme="minorHAnsi"/>
          <w:b/>
          <w:u w:val="single"/>
        </w:rPr>
        <w:t>One year of unlawful presence—no exceptions</w:t>
      </w:r>
      <w:r w:rsidRPr="001A48A6">
        <w:rPr>
          <w:rFonts w:cstheme="minorHAnsi"/>
        </w:rPr>
        <w:t xml:space="preserve">.  The Proposed Rule </w:t>
      </w:r>
      <w:r>
        <w:rPr>
          <w:rFonts w:cstheme="minorHAnsi"/>
        </w:rPr>
        <w:t>instructs adjudicators</w:t>
      </w:r>
      <w:r w:rsidRPr="001A48A6">
        <w:rPr>
          <w:rFonts w:cstheme="minorHAnsi"/>
        </w:rPr>
        <w:t xml:space="preserve"> </w:t>
      </w:r>
      <w:r>
        <w:rPr>
          <w:rFonts w:cstheme="minorHAnsi"/>
        </w:rPr>
        <w:t>to deny asylum for an</w:t>
      </w:r>
      <w:r w:rsidRPr="001A48A6">
        <w:rPr>
          <w:rFonts w:cstheme="minorHAnsi"/>
        </w:rPr>
        <w:t xml:space="preserve"> applicant </w:t>
      </w:r>
      <w:r>
        <w:rPr>
          <w:rFonts w:cstheme="minorHAnsi"/>
        </w:rPr>
        <w:t xml:space="preserve">who has </w:t>
      </w:r>
      <w:r w:rsidRPr="001A48A6">
        <w:rPr>
          <w:rFonts w:cstheme="minorHAnsi"/>
        </w:rPr>
        <w:t xml:space="preserve">accrued “more than one year of unlawful presence in the United States prior to filing an application for asylum.”  This rewrites the INA, which explicitly provides </w:t>
      </w:r>
      <w:r w:rsidR="00AC5AB2">
        <w:rPr>
          <w:rFonts w:cstheme="minorHAnsi"/>
        </w:rPr>
        <w:t xml:space="preserve">explicit </w:t>
      </w:r>
      <w:r w:rsidRPr="001A48A6">
        <w:rPr>
          <w:rFonts w:cstheme="minorHAnsi"/>
        </w:rPr>
        <w:t>exceptions to the one-year filing deadline for change</w:t>
      </w:r>
      <w:r>
        <w:rPr>
          <w:rFonts w:cstheme="minorHAnsi"/>
        </w:rPr>
        <w:t xml:space="preserve">d or extraordinary </w:t>
      </w:r>
      <w:r w:rsidRPr="001A48A6">
        <w:rPr>
          <w:rFonts w:cstheme="minorHAnsi"/>
        </w:rPr>
        <w:t>circumstance</w:t>
      </w:r>
      <w:r>
        <w:rPr>
          <w:rFonts w:cstheme="minorHAnsi"/>
        </w:rPr>
        <w:t>s</w:t>
      </w:r>
      <w:r w:rsidRPr="001A48A6">
        <w:rPr>
          <w:rFonts w:cstheme="minorHAnsi"/>
        </w:rPr>
        <w:t xml:space="preserve">.  </w:t>
      </w:r>
      <w:r w:rsidRPr="001905D8">
        <w:rPr>
          <w:rFonts w:cstheme="minorHAnsi"/>
          <w:i/>
        </w:rPr>
        <w:t xml:space="preserve">See </w:t>
      </w:r>
      <w:r w:rsidRPr="001A48A6">
        <w:rPr>
          <w:rFonts w:cstheme="minorHAnsi"/>
        </w:rPr>
        <w:t xml:space="preserve">8 U.S.C. 1158(a)(2)(D). The </w:t>
      </w:r>
      <w:r w:rsidR="00AA7D45">
        <w:rPr>
          <w:rFonts w:cstheme="minorHAnsi"/>
        </w:rPr>
        <w:t>Agencies</w:t>
      </w:r>
      <w:r w:rsidRPr="001A48A6">
        <w:rPr>
          <w:rFonts w:cstheme="minorHAnsi"/>
        </w:rPr>
        <w:t xml:space="preserve"> would be in radical contradiction to the INA if they issued a </w:t>
      </w:r>
      <w:r w:rsidR="00AC5AB2">
        <w:rPr>
          <w:rFonts w:cstheme="minorHAnsi"/>
        </w:rPr>
        <w:t xml:space="preserve">one-year </w:t>
      </w:r>
      <w:r w:rsidRPr="001A48A6">
        <w:rPr>
          <w:rFonts w:cstheme="minorHAnsi"/>
        </w:rPr>
        <w:t>discretionary denial of asylum seekers who met a one-year filing deadline exception.</w:t>
      </w:r>
    </w:p>
    <w:p w14:paraId="6ECB9C7C" w14:textId="3601CE89" w:rsidR="00E66F07" w:rsidRPr="001A48A6" w:rsidRDefault="00E66F07" w:rsidP="00E66F07">
      <w:pPr>
        <w:pStyle w:val="BodyText"/>
        <w:ind w:firstLine="0"/>
        <w:rPr>
          <w:rFonts w:cstheme="minorHAnsi"/>
        </w:rPr>
      </w:pPr>
      <w:r>
        <w:rPr>
          <w:rFonts w:cstheme="minorHAnsi"/>
        </w:rPr>
        <w:t>D</w:t>
      </w:r>
      <w:r w:rsidRPr="001A48A6">
        <w:rPr>
          <w:rFonts w:cstheme="minorHAnsi"/>
        </w:rPr>
        <w:t xml:space="preserve">eadline exceptions are particularly important to LGBTQ asylum seekers, many of whom </w:t>
      </w:r>
      <w:r w:rsidR="00AC5AB2">
        <w:rPr>
          <w:rFonts w:cstheme="minorHAnsi"/>
        </w:rPr>
        <w:t xml:space="preserve">struggle to find acceptance in </w:t>
      </w:r>
      <w:r w:rsidRPr="001A48A6">
        <w:rPr>
          <w:rFonts w:cstheme="minorHAnsi"/>
        </w:rPr>
        <w:t xml:space="preserve">their identity for years after arriving in the United States.  Many are terrified of coming out, or have fled violence because they were outed.  Many others </w:t>
      </w:r>
      <w:r w:rsidR="00AC5AB2">
        <w:rPr>
          <w:rFonts w:cstheme="minorHAnsi"/>
        </w:rPr>
        <w:t>live with</w:t>
      </w:r>
      <w:r w:rsidRPr="001A48A6">
        <w:rPr>
          <w:rFonts w:cstheme="minorHAnsi"/>
        </w:rPr>
        <w:t xml:space="preserve"> severe psychological trauma manifesting as post-traumatic stress disorder, anxiety, or severe depression.  An applicant who enters the United States identifying as cisgender may begin to transition, and then develop a well-founded fear of persecution on the basis of their transgender identity.  The process of transitioning can take years</w:t>
      </w:r>
      <w:r w:rsidR="00AC5AB2">
        <w:rPr>
          <w:rFonts w:cstheme="minorHAnsi"/>
        </w:rPr>
        <w:t>,</w:t>
      </w:r>
      <w:r w:rsidRPr="001A48A6">
        <w:rPr>
          <w:rStyle w:val="FootnoteReference"/>
          <w:rFonts w:cstheme="minorHAnsi"/>
        </w:rPr>
        <w:footnoteReference w:id="40"/>
      </w:r>
      <w:r w:rsidRPr="001A48A6">
        <w:rPr>
          <w:rFonts w:cstheme="minorHAnsi"/>
        </w:rPr>
        <w:t xml:space="preserve"> and </w:t>
      </w:r>
      <w:r>
        <w:rPr>
          <w:rFonts w:cstheme="minorHAnsi"/>
        </w:rPr>
        <w:t>constitutes</w:t>
      </w:r>
      <w:r w:rsidRPr="001A48A6">
        <w:rPr>
          <w:rFonts w:cstheme="minorHAnsi"/>
        </w:rPr>
        <w:t xml:space="preserve"> “changed </w:t>
      </w:r>
      <w:r w:rsidRPr="001A48A6">
        <w:rPr>
          <w:rFonts w:cstheme="minorHAnsi"/>
        </w:rPr>
        <w:lastRenderedPageBreak/>
        <w:t>circumstances” justifying an exception to the one-year bar.</w:t>
      </w:r>
      <w:r>
        <w:rPr>
          <w:rFonts w:cstheme="minorHAnsi"/>
        </w:rPr>
        <w:t xml:space="preserve">  </w:t>
      </w:r>
      <w:r w:rsidRPr="001A48A6">
        <w:rPr>
          <w:rFonts w:cstheme="minorHAnsi"/>
        </w:rPr>
        <w:t xml:space="preserve">The same is true for refugees who discover they are HIV-positive after being in the United States.  It would be absurd for these refugees to incur a discretionary denial because they did not seek asylum on the basis of </w:t>
      </w:r>
      <w:r>
        <w:rPr>
          <w:rFonts w:cstheme="minorHAnsi"/>
        </w:rPr>
        <w:t>an identity that they could not express during their first year in the United States</w:t>
      </w:r>
      <w:r w:rsidRPr="001A48A6">
        <w:rPr>
          <w:rFonts w:cstheme="minorHAnsi"/>
        </w:rPr>
        <w:t xml:space="preserve">.  </w:t>
      </w:r>
    </w:p>
    <w:p w14:paraId="37304E92" w14:textId="7DD96426" w:rsidR="00E66F07" w:rsidRPr="00352F4C" w:rsidRDefault="00E66F07" w:rsidP="00E66F07">
      <w:pPr>
        <w:pStyle w:val="BodyText"/>
        <w:rPr>
          <w:rFonts w:cstheme="minorHAnsi"/>
          <w:b/>
        </w:rPr>
      </w:pPr>
      <w:r w:rsidRPr="00546C50">
        <w:rPr>
          <w:rFonts w:cstheme="minorHAnsi"/>
          <w:b/>
          <w:highlight w:val="yellow"/>
        </w:rPr>
        <w:t>[Add facts showing necessity of changed circumstances exception to HIV-positive applicants</w:t>
      </w:r>
      <w:r w:rsidR="00546C50">
        <w:rPr>
          <w:rFonts w:cstheme="minorHAnsi"/>
          <w:b/>
          <w:highlight w:val="yellow"/>
        </w:rPr>
        <w:t>.</w:t>
      </w:r>
      <w:r w:rsidRPr="00546C50">
        <w:rPr>
          <w:rFonts w:cstheme="minorHAnsi"/>
          <w:b/>
          <w:highlight w:val="yellow"/>
        </w:rPr>
        <w:t>]</w:t>
      </w:r>
    </w:p>
    <w:p w14:paraId="384576E3" w14:textId="44048C7E" w:rsidR="00FC1C7D" w:rsidRPr="00352F4C" w:rsidRDefault="00D20411" w:rsidP="001B037B">
      <w:pPr>
        <w:pStyle w:val="Heading2"/>
        <w:rPr>
          <w:rFonts w:cstheme="minorHAnsi"/>
        </w:rPr>
      </w:pPr>
      <w:r>
        <w:rPr>
          <w:rFonts w:cstheme="minorHAnsi"/>
        </w:rPr>
        <w:t>The radical expansion of f</w:t>
      </w:r>
      <w:r w:rsidR="00BE5CDA" w:rsidRPr="00352F4C">
        <w:rPr>
          <w:rFonts w:cstheme="minorHAnsi"/>
        </w:rPr>
        <w:t xml:space="preserve">irm </w:t>
      </w:r>
      <w:r>
        <w:rPr>
          <w:rFonts w:cstheme="minorHAnsi"/>
        </w:rPr>
        <w:t>r</w:t>
      </w:r>
      <w:r w:rsidR="00BE5CDA" w:rsidRPr="00352F4C">
        <w:rPr>
          <w:rFonts w:cstheme="minorHAnsi"/>
        </w:rPr>
        <w:t>esettlement</w:t>
      </w:r>
      <w:r>
        <w:rPr>
          <w:rFonts w:cstheme="minorHAnsi"/>
        </w:rPr>
        <w:t xml:space="preserve"> bar will return LGBTQ/H asylum seekers to harm.  </w:t>
      </w:r>
    </w:p>
    <w:p w14:paraId="5BEEC3F2" w14:textId="4F610DE4" w:rsidR="00B83C73" w:rsidRPr="00352F4C" w:rsidRDefault="00CB2E16" w:rsidP="0010653C">
      <w:pPr>
        <w:pStyle w:val="BodyText"/>
        <w:rPr>
          <w:rFonts w:cstheme="minorHAnsi"/>
        </w:rPr>
      </w:pPr>
      <w:r w:rsidRPr="00352F4C">
        <w:rPr>
          <w:rFonts w:cstheme="minorHAnsi"/>
        </w:rPr>
        <w:t xml:space="preserve">The Proposed Rule </w:t>
      </w:r>
      <w:r w:rsidR="00BE5CDA" w:rsidRPr="00352F4C">
        <w:rPr>
          <w:rFonts w:cstheme="minorHAnsi"/>
        </w:rPr>
        <w:t xml:space="preserve">radically </w:t>
      </w:r>
      <w:r w:rsidR="00AC5AB2">
        <w:rPr>
          <w:rFonts w:cstheme="minorHAnsi"/>
        </w:rPr>
        <w:t xml:space="preserve">and impermissibly </w:t>
      </w:r>
      <w:r w:rsidRPr="00352F4C">
        <w:rPr>
          <w:rFonts w:cstheme="minorHAnsi"/>
        </w:rPr>
        <w:t>e</w:t>
      </w:r>
      <w:r w:rsidR="009E6DAD" w:rsidRPr="00352F4C">
        <w:rPr>
          <w:rFonts w:cstheme="minorHAnsi"/>
        </w:rPr>
        <w:t>xpands the statutory firm resettlement bar</w:t>
      </w:r>
      <w:r w:rsidR="00BE5CDA" w:rsidRPr="00352F4C">
        <w:rPr>
          <w:rFonts w:cstheme="minorHAnsi"/>
        </w:rPr>
        <w:t xml:space="preserve">.  </w:t>
      </w:r>
      <w:r w:rsidR="002508EC" w:rsidRPr="00352F4C">
        <w:rPr>
          <w:rFonts w:cstheme="minorHAnsi"/>
        </w:rPr>
        <w:t>8 U.S</w:t>
      </w:r>
      <w:r w:rsidR="009E6DAD" w:rsidRPr="00352F4C">
        <w:rPr>
          <w:rFonts w:cstheme="minorHAnsi"/>
        </w:rPr>
        <w:t xml:space="preserve">.C. 1158(b)(2)(A)(vi).  Changing a definition that the </w:t>
      </w:r>
      <w:r w:rsidR="002508EC" w:rsidRPr="00352F4C">
        <w:rPr>
          <w:rFonts w:cstheme="minorHAnsi"/>
        </w:rPr>
        <w:t>government</w:t>
      </w:r>
      <w:r w:rsidR="009E6DAD" w:rsidRPr="00352F4C">
        <w:rPr>
          <w:rFonts w:cstheme="minorHAnsi"/>
        </w:rPr>
        <w:t xml:space="preserve"> acknowledges has </w:t>
      </w:r>
      <w:r w:rsidR="007A5952">
        <w:rPr>
          <w:rFonts w:cstheme="minorHAnsi"/>
        </w:rPr>
        <w:t>been the</w:t>
      </w:r>
      <w:r w:rsidR="002508EC" w:rsidRPr="00352F4C">
        <w:rPr>
          <w:rFonts w:cstheme="minorHAnsi"/>
        </w:rPr>
        <w:t xml:space="preserve"> same for nearly 30 years</w:t>
      </w:r>
      <w:r w:rsidRPr="00352F4C">
        <w:rPr>
          <w:rFonts w:cstheme="minorHAnsi"/>
        </w:rPr>
        <w:t xml:space="preserve">, the Proposed Rule would </w:t>
      </w:r>
      <w:r w:rsidR="002508EC" w:rsidRPr="00352F4C">
        <w:rPr>
          <w:rFonts w:cstheme="minorHAnsi"/>
        </w:rPr>
        <w:t xml:space="preserve">find </w:t>
      </w:r>
      <w:r w:rsidR="00034B87">
        <w:rPr>
          <w:rFonts w:cstheme="minorHAnsi"/>
        </w:rPr>
        <w:t xml:space="preserve">the </w:t>
      </w:r>
      <w:r w:rsidR="002508EC" w:rsidRPr="00352F4C">
        <w:rPr>
          <w:rFonts w:cstheme="minorHAnsi"/>
        </w:rPr>
        <w:t>circumstance</w:t>
      </w:r>
      <w:r w:rsidR="00034B87">
        <w:rPr>
          <w:rFonts w:cstheme="minorHAnsi"/>
        </w:rPr>
        <w:t xml:space="preserve"> below </w:t>
      </w:r>
      <w:r w:rsidR="002508EC" w:rsidRPr="00352F4C">
        <w:rPr>
          <w:rFonts w:cstheme="minorHAnsi"/>
        </w:rPr>
        <w:t xml:space="preserve">to be </w:t>
      </w:r>
      <w:r w:rsidR="00ED5A2B" w:rsidRPr="00352F4C">
        <w:rPr>
          <w:rFonts w:cstheme="minorHAnsi"/>
        </w:rPr>
        <w:t>categorical</w:t>
      </w:r>
      <w:r w:rsidR="002508EC" w:rsidRPr="00352F4C">
        <w:rPr>
          <w:rFonts w:cstheme="minorHAnsi"/>
        </w:rPr>
        <w:t xml:space="preserve"> bar</w:t>
      </w:r>
      <w:r w:rsidR="007A5952">
        <w:rPr>
          <w:rFonts w:cstheme="minorHAnsi"/>
        </w:rPr>
        <w:t>s</w:t>
      </w:r>
      <w:r w:rsidR="002508EC" w:rsidRPr="00352F4C">
        <w:rPr>
          <w:rFonts w:cstheme="minorHAnsi"/>
        </w:rPr>
        <w:t xml:space="preserve"> to asylum eligibility:</w:t>
      </w:r>
      <w:r w:rsidR="00CF795A" w:rsidRPr="00352F4C">
        <w:rPr>
          <w:rFonts w:cstheme="minorHAnsi"/>
          <w:b/>
          <w:highlight w:val="green"/>
        </w:rPr>
        <w:t xml:space="preserve"> </w:t>
      </w:r>
    </w:p>
    <w:p w14:paraId="71E000D0" w14:textId="2F5D3463" w:rsidR="00B83C73" w:rsidRPr="00352F4C" w:rsidRDefault="00CB2E16" w:rsidP="00B83C73">
      <w:pPr>
        <w:pStyle w:val="ListBullet"/>
        <w:rPr>
          <w:rFonts w:cstheme="minorHAnsi"/>
        </w:rPr>
      </w:pPr>
      <w:r w:rsidRPr="00352F4C">
        <w:rPr>
          <w:rFonts w:cstheme="minorHAnsi"/>
        </w:rPr>
        <w:t>If</w:t>
      </w:r>
      <w:r w:rsidR="00BE5CDA" w:rsidRPr="00352F4C">
        <w:rPr>
          <w:rFonts w:cstheme="minorHAnsi"/>
        </w:rPr>
        <w:t xml:space="preserve"> </w:t>
      </w:r>
      <w:r w:rsidRPr="00352F4C">
        <w:rPr>
          <w:rFonts w:cstheme="minorHAnsi"/>
        </w:rPr>
        <w:t>an applicant</w:t>
      </w:r>
      <w:r w:rsidR="00BE5CDA" w:rsidRPr="00352F4C">
        <w:rPr>
          <w:rFonts w:cstheme="minorHAnsi"/>
        </w:rPr>
        <w:t xml:space="preserve"> </w:t>
      </w:r>
      <w:r w:rsidR="00BE5CDA" w:rsidRPr="00352F4C">
        <w:rPr>
          <w:rFonts w:cstheme="minorHAnsi"/>
          <w:i/>
        </w:rPr>
        <w:t>could</w:t>
      </w:r>
      <w:r w:rsidR="00BE5CDA" w:rsidRPr="00352F4C">
        <w:rPr>
          <w:rFonts w:cstheme="minorHAnsi"/>
        </w:rPr>
        <w:t xml:space="preserve"> have resided in a country of transit, even if there is no pathway to permanent status, and even if he or she did not actually apply for any status at all.</w:t>
      </w:r>
      <w:r w:rsidRPr="00352F4C">
        <w:rPr>
          <w:rStyle w:val="FootnoteReference"/>
          <w:rFonts w:cstheme="minorHAnsi"/>
        </w:rPr>
        <w:footnoteReference w:id="41"/>
      </w:r>
      <w:r w:rsidR="00ED5A2B" w:rsidRPr="00352F4C">
        <w:rPr>
          <w:rFonts w:cstheme="minorHAnsi"/>
        </w:rPr>
        <w:t xml:space="preserve">  </w:t>
      </w:r>
      <w:r w:rsidR="007A5952">
        <w:rPr>
          <w:rFonts w:cstheme="minorHAnsi"/>
        </w:rPr>
        <w:t xml:space="preserve">Notably, there is no exception if the country is unsafe for LGBTQ/H people. </w:t>
      </w:r>
      <w:r w:rsidR="00D20411" w:rsidRPr="00D20411">
        <w:rPr>
          <w:rFonts w:cstheme="minorHAnsi"/>
          <w:highlight w:val="yellow"/>
        </w:rPr>
        <w:t xml:space="preserve">[Insert examples or </w:t>
      </w:r>
      <w:r w:rsidR="00034B87">
        <w:rPr>
          <w:rFonts w:cstheme="minorHAnsi"/>
          <w:highlight w:val="yellow"/>
        </w:rPr>
        <w:t xml:space="preserve">relevant </w:t>
      </w:r>
      <w:r w:rsidR="00D20411" w:rsidRPr="00D20411">
        <w:rPr>
          <w:rFonts w:cstheme="minorHAnsi"/>
          <w:highlight w:val="yellow"/>
        </w:rPr>
        <w:t>client stories.</w:t>
      </w:r>
      <w:r w:rsidR="00FB60B8">
        <w:rPr>
          <w:rFonts w:cstheme="minorHAnsi"/>
          <w:highlight w:val="yellow"/>
        </w:rPr>
        <w:t xml:space="preserve">  For example, a gay Saudi Arabian man could be deemed firmly resettled if he had a layover in a third country, even if that country is unsafe for LGBTQ people.</w:t>
      </w:r>
      <w:r w:rsidR="00D20411" w:rsidRPr="00D20411">
        <w:rPr>
          <w:rFonts w:cstheme="minorHAnsi"/>
          <w:highlight w:val="yellow"/>
        </w:rPr>
        <w:t>]</w:t>
      </w:r>
      <w:r w:rsidR="00ED5A2B" w:rsidRPr="00352F4C">
        <w:rPr>
          <w:rFonts w:cstheme="minorHAnsi"/>
        </w:rPr>
        <w:t xml:space="preserve">  </w:t>
      </w:r>
    </w:p>
    <w:p w14:paraId="398C2CF7" w14:textId="3CF5CF66" w:rsidR="00B83C73" w:rsidRPr="00352F4C" w:rsidRDefault="007A5952" w:rsidP="00B83C73">
      <w:pPr>
        <w:pStyle w:val="ListBullet"/>
        <w:rPr>
          <w:rFonts w:cstheme="minorHAnsi"/>
        </w:rPr>
      </w:pPr>
      <w:r w:rsidRPr="007A5952">
        <w:rPr>
          <w:rFonts w:cstheme="minorHAnsi"/>
        </w:rPr>
        <w:t xml:space="preserve">The </w:t>
      </w:r>
      <w:r>
        <w:rPr>
          <w:rFonts w:cstheme="minorHAnsi"/>
        </w:rPr>
        <w:t xml:space="preserve">applicant </w:t>
      </w:r>
      <w:r w:rsidRPr="007A5952">
        <w:rPr>
          <w:rFonts w:cstheme="minorHAnsi"/>
        </w:rPr>
        <w:t xml:space="preserve">physically resided voluntarily, and without continuing to suffer persecution, in </w:t>
      </w:r>
      <w:r>
        <w:rPr>
          <w:rFonts w:cstheme="minorHAnsi"/>
        </w:rPr>
        <w:t>another</w:t>
      </w:r>
      <w:r w:rsidRPr="007A5952">
        <w:rPr>
          <w:rFonts w:cstheme="minorHAnsi"/>
        </w:rPr>
        <w:t xml:space="preserve"> country for </w:t>
      </w:r>
      <w:r>
        <w:rPr>
          <w:rFonts w:cstheme="minorHAnsi"/>
        </w:rPr>
        <w:t xml:space="preserve">a </w:t>
      </w:r>
      <w:r w:rsidRPr="007A5952">
        <w:rPr>
          <w:rFonts w:cstheme="minorHAnsi"/>
        </w:rPr>
        <w:t>year or more</w:t>
      </w:r>
      <w:r w:rsidR="00BE5CDA" w:rsidRPr="00352F4C">
        <w:rPr>
          <w:rFonts w:cstheme="minorHAnsi"/>
        </w:rPr>
        <w:t>, whether or not the country offered any immigration status (permanent or otherwise).</w:t>
      </w:r>
      <w:r w:rsidR="00CB2E16" w:rsidRPr="00352F4C">
        <w:rPr>
          <w:rStyle w:val="FootnoteReference"/>
          <w:rFonts w:cstheme="minorHAnsi"/>
        </w:rPr>
        <w:footnoteReference w:id="42"/>
      </w:r>
      <w:r w:rsidR="00BE5CDA" w:rsidRPr="00352F4C">
        <w:rPr>
          <w:rFonts w:cstheme="minorHAnsi"/>
        </w:rPr>
        <w:t xml:space="preserve"> </w:t>
      </w:r>
      <w:r w:rsidR="006D047E">
        <w:rPr>
          <w:rFonts w:cstheme="minorHAnsi"/>
        </w:rPr>
        <w:t>There is no exception based on the asylum seekers inability to leave the third country, or based on fear of remaining in the third country.</w:t>
      </w:r>
      <w:r w:rsidR="005859E0" w:rsidRPr="00352F4C">
        <w:rPr>
          <w:rFonts w:cstheme="minorHAnsi"/>
        </w:rPr>
        <w:t xml:space="preserve"> </w:t>
      </w:r>
      <w:r w:rsidR="00034B87" w:rsidRPr="00D20411">
        <w:rPr>
          <w:rFonts w:cstheme="minorHAnsi"/>
          <w:highlight w:val="yellow"/>
        </w:rPr>
        <w:t xml:space="preserve">[Insert examples or </w:t>
      </w:r>
      <w:r w:rsidR="00034B87">
        <w:rPr>
          <w:rFonts w:cstheme="minorHAnsi"/>
          <w:highlight w:val="yellow"/>
        </w:rPr>
        <w:t xml:space="preserve">relevant </w:t>
      </w:r>
      <w:r w:rsidR="00034B87" w:rsidRPr="00D20411">
        <w:rPr>
          <w:rFonts w:cstheme="minorHAnsi"/>
          <w:highlight w:val="yellow"/>
        </w:rPr>
        <w:t>client stories.</w:t>
      </w:r>
      <w:r w:rsidR="00034B87">
        <w:rPr>
          <w:rFonts w:cstheme="minorHAnsi"/>
          <w:highlight w:val="yellow"/>
        </w:rPr>
        <w:t xml:space="preserve">  </w:t>
      </w:r>
      <w:r w:rsidR="00ED5A2B" w:rsidRPr="00D20411">
        <w:rPr>
          <w:rFonts w:cstheme="minorHAnsi"/>
          <w:highlight w:val="yellow"/>
        </w:rPr>
        <w:t>For example, if a Colombian transgender woman lived closeted in Venezuela for 18 months under constant fear of being outed before traveling to the United States, she would be barred from asylum.</w:t>
      </w:r>
      <w:r w:rsidR="00D20411">
        <w:rPr>
          <w:rFonts w:cstheme="minorHAnsi"/>
        </w:rPr>
        <w:t>]</w:t>
      </w:r>
      <w:r w:rsidR="006D047E">
        <w:rPr>
          <w:rFonts w:cstheme="minorHAnsi"/>
        </w:rPr>
        <w:t xml:space="preserve">.  </w:t>
      </w:r>
    </w:p>
    <w:p w14:paraId="5DB2A390" w14:textId="4E597215" w:rsidR="00FC1C7D" w:rsidRDefault="006D047E" w:rsidP="00FB60B8">
      <w:pPr>
        <w:ind w:firstLine="360"/>
        <w:rPr>
          <w:rFonts w:cstheme="minorHAnsi"/>
        </w:rPr>
      </w:pPr>
      <w:r>
        <w:rPr>
          <w:rFonts w:cstheme="minorHAnsi"/>
        </w:rPr>
        <w:t xml:space="preserve">What’s more, </w:t>
      </w:r>
      <w:r w:rsidR="007A5952">
        <w:rPr>
          <w:rFonts w:cstheme="minorHAnsi"/>
        </w:rPr>
        <w:t xml:space="preserve">if </w:t>
      </w:r>
      <w:r w:rsidR="007A5952">
        <w:t xml:space="preserve">the government or </w:t>
      </w:r>
      <w:r w:rsidR="00546C50">
        <w:t>adjudicator</w:t>
      </w:r>
      <w:r w:rsidR="007A5952">
        <w:t xml:space="preserve"> raises the issue of firm resettlement</w:t>
      </w:r>
      <w:r w:rsidR="00FB60B8">
        <w:t xml:space="preserve"> – </w:t>
      </w:r>
      <w:r w:rsidR="007A5952">
        <w:t>without having to present any proof that firm resettlement is possible</w:t>
      </w:r>
      <w:r w:rsidR="00FB60B8">
        <w:t xml:space="preserve"> – </w:t>
      </w:r>
      <w:r w:rsidR="007A5952">
        <w:t xml:space="preserve">the burden of proof </w:t>
      </w:r>
      <w:r w:rsidR="00FB60B8">
        <w:t xml:space="preserve">then </w:t>
      </w:r>
      <w:r w:rsidR="007A5952">
        <w:t xml:space="preserve">falls to the applicant to demonstrate that they could not obtain some immigration status in the third country. </w:t>
      </w:r>
      <w:r w:rsidR="007A5952">
        <w:rPr>
          <w:rFonts w:cstheme="minorHAnsi"/>
        </w:rPr>
        <w:t xml:space="preserve">This would require LGBTQ/H asylum seekers to </w:t>
      </w:r>
      <w:r w:rsidR="00FB60B8">
        <w:rPr>
          <w:rFonts w:cstheme="minorHAnsi"/>
        </w:rPr>
        <w:t xml:space="preserve">conduct research </w:t>
      </w:r>
      <w:r w:rsidR="00AC5AB2">
        <w:rPr>
          <w:rFonts w:cstheme="minorHAnsi"/>
        </w:rPr>
        <w:t xml:space="preserve">on the </w:t>
      </w:r>
      <w:r w:rsidR="00FB60B8">
        <w:rPr>
          <w:rFonts w:cstheme="minorHAnsi"/>
        </w:rPr>
        <w:t xml:space="preserve">law in countries </w:t>
      </w:r>
      <w:r w:rsidR="00E34974">
        <w:rPr>
          <w:rFonts w:cstheme="minorHAnsi"/>
        </w:rPr>
        <w:t>about which they may be completely ignorant</w:t>
      </w:r>
      <w:r w:rsidR="00FB60B8">
        <w:rPr>
          <w:rFonts w:cstheme="minorHAnsi"/>
        </w:rPr>
        <w:t xml:space="preserve"> </w:t>
      </w:r>
      <w:r w:rsidR="00AC5AB2">
        <w:rPr>
          <w:rFonts w:cstheme="minorHAnsi"/>
        </w:rPr>
        <w:t xml:space="preserve">and </w:t>
      </w:r>
      <w:r w:rsidR="00E34974">
        <w:rPr>
          <w:rFonts w:cstheme="minorHAnsi"/>
        </w:rPr>
        <w:t xml:space="preserve">with which </w:t>
      </w:r>
      <w:r w:rsidR="00AC5AB2">
        <w:rPr>
          <w:rFonts w:cstheme="minorHAnsi"/>
        </w:rPr>
        <w:t>they do not share a common language.</w:t>
      </w:r>
      <w:r w:rsidR="00FB60B8">
        <w:rPr>
          <w:rFonts w:cstheme="minorHAnsi"/>
        </w:rPr>
        <w:t xml:space="preserve">  While this would pose an unreasonable burden on any asylum seeker, it will likely be an insurmountable burden on unrepresented and detained people resulting in wrongful asylum denials.</w:t>
      </w:r>
    </w:p>
    <w:p w14:paraId="67F2EA20" w14:textId="6D0CB7DF" w:rsidR="00034B87" w:rsidRDefault="00034B87" w:rsidP="00FB60B8">
      <w:pPr>
        <w:ind w:firstLine="360"/>
        <w:rPr>
          <w:rFonts w:cstheme="minorHAnsi"/>
        </w:rPr>
      </w:pPr>
    </w:p>
    <w:p w14:paraId="1BF6D595" w14:textId="19B7EEE3" w:rsidR="00034B87" w:rsidRDefault="00034B87" w:rsidP="00FB60B8">
      <w:pPr>
        <w:ind w:firstLine="360"/>
        <w:rPr>
          <w:rFonts w:cstheme="minorHAnsi"/>
        </w:rPr>
      </w:pPr>
      <w:r w:rsidRPr="00D20411">
        <w:rPr>
          <w:rFonts w:cstheme="minorHAnsi"/>
          <w:highlight w:val="yellow"/>
        </w:rPr>
        <w:t xml:space="preserve">[Insert examples or </w:t>
      </w:r>
      <w:r>
        <w:rPr>
          <w:rFonts w:cstheme="minorHAnsi"/>
          <w:highlight w:val="yellow"/>
        </w:rPr>
        <w:t xml:space="preserve">relevant </w:t>
      </w:r>
      <w:r w:rsidRPr="00D20411">
        <w:rPr>
          <w:rFonts w:cstheme="minorHAnsi"/>
          <w:highlight w:val="yellow"/>
        </w:rPr>
        <w:t>client stories.</w:t>
      </w:r>
      <w:r>
        <w:rPr>
          <w:rFonts w:cstheme="minorHAnsi"/>
          <w:highlight w:val="yellow"/>
        </w:rPr>
        <w:t>]</w:t>
      </w:r>
    </w:p>
    <w:p w14:paraId="5204D8F2" w14:textId="1F03A916" w:rsidR="00FB60B8" w:rsidRDefault="00FB60B8" w:rsidP="00FB60B8">
      <w:pPr>
        <w:ind w:firstLine="360"/>
        <w:rPr>
          <w:rFonts w:cstheme="minorHAnsi"/>
        </w:rPr>
      </w:pPr>
    </w:p>
    <w:p w14:paraId="2F1AF265" w14:textId="3018FB06" w:rsidR="00A40C95" w:rsidRPr="00352F4C" w:rsidRDefault="000D039D" w:rsidP="00A40C95">
      <w:pPr>
        <w:pStyle w:val="Heading2"/>
        <w:rPr>
          <w:rFonts w:cstheme="minorHAnsi"/>
        </w:rPr>
      </w:pPr>
      <w:r>
        <w:rPr>
          <w:rFonts w:cstheme="minorHAnsi"/>
        </w:rPr>
        <w:lastRenderedPageBreak/>
        <w:t xml:space="preserve">The Proposed Rule imposes a standard for assessing the reasonableness of internal relocation that </w:t>
      </w:r>
      <w:r w:rsidR="003423B2">
        <w:rPr>
          <w:rFonts w:cstheme="minorHAnsi"/>
        </w:rPr>
        <w:t xml:space="preserve">almost </w:t>
      </w:r>
      <w:r>
        <w:rPr>
          <w:rFonts w:cstheme="minorHAnsi"/>
        </w:rPr>
        <w:t>no asy</w:t>
      </w:r>
      <w:r w:rsidR="003423B2">
        <w:rPr>
          <w:rFonts w:cstheme="minorHAnsi"/>
        </w:rPr>
        <w:t>l</w:t>
      </w:r>
      <w:r>
        <w:rPr>
          <w:rFonts w:cstheme="minorHAnsi"/>
        </w:rPr>
        <w:t xml:space="preserve">um seeker can meet. </w:t>
      </w:r>
      <w:r w:rsidR="00A40C95" w:rsidRPr="00352F4C">
        <w:rPr>
          <w:rFonts w:cstheme="minorHAnsi"/>
        </w:rPr>
        <w:t xml:space="preserve"> </w:t>
      </w:r>
    </w:p>
    <w:p w14:paraId="750799FE" w14:textId="40D26297" w:rsidR="003423B2" w:rsidRDefault="00A40C95" w:rsidP="008736E0">
      <w:pPr>
        <w:pStyle w:val="BodyText"/>
        <w:rPr>
          <w:rFonts w:cstheme="minorHAnsi"/>
        </w:rPr>
      </w:pPr>
      <w:r w:rsidRPr="00352F4C">
        <w:rPr>
          <w:rFonts w:cstheme="minorHAnsi"/>
        </w:rPr>
        <w:t>The Proposed Rule imposes an arbitrary standard for assessing the reasonableness of internal relocation</w:t>
      </w:r>
      <w:r w:rsidR="008736E0">
        <w:rPr>
          <w:rFonts w:cstheme="minorHAnsi"/>
        </w:rPr>
        <w:t xml:space="preserve"> that virtually no </w:t>
      </w:r>
      <w:r w:rsidR="00034B87">
        <w:rPr>
          <w:rFonts w:cstheme="minorHAnsi"/>
        </w:rPr>
        <w:t xml:space="preserve">refugee, including LGBTQ/H </w:t>
      </w:r>
      <w:r w:rsidR="008736E0">
        <w:rPr>
          <w:rFonts w:cstheme="minorHAnsi"/>
        </w:rPr>
        <w:t>asylum seeker</w:t>
      </w:r>
      <w:r w:rsidR="00034B87">
        <w:rPr>
          <w:rFonts w:cstheme="minorHAnsi"/>
        </w:rPr>
        <w:t>s,</w:t>
      </w:r>
      <w:r w:rsidR="008736E0">
        <w:rPr>
          <w:rFonts w:cstheme="minorHAnsi"/>
        </w:rPr>
        <w:t xml:space="preserve"> can meet</w:t>
      </w:r>
      <w:r w:rsidRPr="00352F4C">
        <w:rPr>
          <w:rFonts w:cstheme="minorHAnsi"/>
        </w:rPr>
        <w:t>.  Under existing regulations, adjudicators may consider numerous circumstances, including “whether the applicant would face other serious harm in the place of suggested relocation; any ongoing civil strife within the country; administrative, economic, or judicial infrastructure; geographical limitations; and social and cultural constraints, such as age, gender, health, and social and familial ties.”  8 C.F.R. § 208.13(b)(3).</w:t>
      </w:r>
      <w:r w:rsidR="008736E0">
        <w:rPr>
          <w:rFonts w:cstheme="minorHAnsi"/>
        </w:rPr>
        <w:t xml:space="preserve">  </w:t>
      </w:r>
      <w:r w:rsidR="003423B2">
        <w:rPr>
          <w:rFonts w:cstheme="minorHAnsi"/>
        </w:rPr>
        <w:t>Ignoring these critical factors, t</w:t>
      </w:r>
      <w:r w:rsidRPr="00352F4C">
        <w:rPr>
          <w:rFonts w:cstheme="minorHAnsi"/>
        </w:rPr>
        <w:t xml:space="preserve">he Proposed Rule purports to “streamline” relevant </w:t>
      </w:r>
      <w:r w:rsidR="003423B2">
        <w:rPr>
          <w:rFonts w:cstheme="minorHAnsi"/>
        </w:rPr>
        <w:t xml:space="preserve">considerations </w:t>
      </w:r>
      <w:r w:rsidRPr="00352F4C">
        <w:rPr>
          <w:rFonts w:cstheme="minorHAnsi"/>
        </w:rPr>
        <w:t xml:space="preserve">for internal relocation, </w:t>
      </w:r>
      <w:r w:rsidR="000130B8">
        <w:rPr>
          <w:rFonts w:cstheme="minorHAnsi"/>
        </w:rPr>
        <w:t>instituting</w:t>
      </w:r>
      <w:r w:rsidRPr="00352F4C">
        <w:rPr>
          <w:rFonts w:cstheme="minorHAnsi"/>
        </w:rPr>
        <w:t xml:space="preserve"> a narrow inquiry under the guise of a totality-of-the-circumstances test.  </w:t>
      </w:r>
    </w:p>
    <w:p w14:paraId="193667AB" w14:textId="17F1D063" w:rsidR="000D039D" w:rsidRDefault="00A40C95" w:rsidP="000130B8">
      <w:pPr>
        <w:pStyle w:val="BodyText"/>
        <w:rPr>
          <w:rFonts w:cstheme="minorHAnsi"/>
        </w:rPr>
      </w:pPr>
      <w:r w:rsidRPr="00352F4C">
        <w:rPr>
          <w:rFonts w:cstheme="minorHAnsi"/>
        </w:rPr>
        <w:t xml:space="preserve">For example, under the Proposed Rule, adjudicators must consider “the applicant’s demonstrated ability to relocate to the United States in order to apply for asylum.”  Proposed Rule §§ 208.13(b)(3), 1208.13(b)(3); Notice at 66.  </w:t>
      </w:r>
      <w:r w:rsidR="000D039D">
        <w:rPr>
          <w:rFonts w:cstheme="minorHAnsi"/>
        </w:rPr>
        <w:t xml:space="preserve">The </w:t>
      </w:r>
      <w:r w:rsidR="003423B2">
        <w:rPr>
          <w:rFonts w:cstheme="minorHAnsi"/>
        </w:rPr>
        <w:t>plain implication of th</w:t>
      </w:r>
      <w:r w:rsidR="000130B8">
        <w:rPr>
          <w:rFonts w:cstheme="minorHAnsi"/>
        </w:rPr>
        <w:t>is provision</w:t>
      </w:r>
      <w:r w:rsidR="003423B2">
        <w:rPr>
          <w:rFonts w:cstheme="minorHAnsi"/>
        </w:rPr>
        <w:t xml:space="preserve"> is that the mere fact </w:t>
      </w:r>
      <w:r w:rsidR="000130B8">
        <w:rPr>
          <w:rFonts w:cstheme="minorHAnsi"/>
        </w:rPr>
        <w:t>an</w:t>
      </w:r>
      <w:r w:rsidR="003423B2">
        <w:rPr>
          <w:rFonts w:cstheme="minorHAnsi"/>
        </w:rPr>
        <w:t xml:space="preserve"> asylum seeker was able to travel to the U.S. </w:t>
      </w:r>
      <w:r w:rsidR="000130B8">
        <w:rPr>
          <w:rFonts w:cstheme="minorHAnsi"/>
        </w:rPr>
        <w:t xml:space="preserve">should </w:t>
      </w:r>
      <w:r w:rsidR="00546C50">
        <w:rPr>
          <w:rFonts w:cstheme="minorHAnsi"/>
        </w:rPr>
        <w:t>show</w:t>
      </w:r>
      <w:r w:rsidR="000130B8">
        <w:rPr>
          <w:rFonts w:cstheme="minorHAnsi"/>
        </w:rPr>
        <w:t xml:space="preserve"> that internal relocation in their country of origin was </w:t>
      </w:r>
      <w:r w:rsidR="003423B2">
        <w:rPr>
          <w:rFonts w:cstheme="minorHAnsi"/>
        </w:rPr>
        <w:t xml:space="preserve">reasonable.  </w:t>
      </w:r>
      <w:r w:rsidR="00034B87">
        <w:rPr>
          <w:rFonts w:cstheme="minorHAnsi"/>
        </w:rPr>
        <w:t>Critically</w:t>
      </w:r>
      <w:r w:rsidR="000130B8">
        <w:rPr>
          <w:rFonts w:cstheme="minorHAnsi"/>
        </w:rPr>
        <w:t xml:space="preserve">, </w:t>
      </w:r>
      <w:r w:rsidR="00C631D1">
        <w:rPr>
          <w:rFonts w:cstheme="minorHAnsi"/>
        </w:rPr>
        <w:t>this provision</w:t>
      </w:r>
      <w:r w:rsidR="000D039D">
        <w:rPr>
          <w:rFonts w:cstheme="minorHAnsi"/>
        </w:rPr>
        <w:t xml:space="preserve"> ignores the fact that </w:t>
      </w:r>
      <w:r w:rsidRPr="00352F4C">
        <w:rPr>
          <w:rFonts w:cstheme="minorHAnsi"/>
        </w:rPr>
        <w:t xml:space="preserve">refugees </w:t>
      </w:r>
      <w:r w:rsidR="000130B8">
        <w:rPr>
          <w:rFonts w:cstheme="minorHAnsi"/>
        </w:rPr>
        <w:t>flee their countries of origin</w:t>
      </w:r>
      <w:r w:rsidRPr="000130B8">
        <w:rPr>
          <w:rFonts w:cstheme="minorHAnsi"/>
        </w:rPr>
        <w:t xml:space="preserve"> because</w:t>
      </w:r>
      <w:r w:rsidRPr="00352F4C">
        <w:rPr>
          <w:rFonts w:cstheme="minorHAnsi"/>
        </w:rPr>
        <w:t xml:space="preserve"> they </w:t>
      </w:r>
      <w:r w:rsidR="000D039D">
        <w:rPr>
          <w:rFonts w:cstheme="minorHAnsi"/>
        </w:rPr>
        <w:t xml:space="preserve">do not believe that their government will protect them and believe </w:t>
      </w:r>
      <w:r w:rsidR="000130B8">
        <w:rPr>
          <w:rFonts w:cstheme="minorHAnsi"/>
        </w:rPr>
        <w:t xml:space="preserve">they </w:t>
      </w:r>
      <w:r w:rsidR="000D039D">
        <w:rPr>
          <w:rFonts w:cstheme="minorHAnsi"/>
        </w:rPr>
        <w:t xml:space="preserve">will be safe in the </w:t>
      </w:r>
      <w:r w:rsidR="000130B8">
        <w:rPr>
          <w:rFonts w:cstheme="minorHAnsi"/>
        </w:rPr>
        <w:t>U.S</w:t>
      </w:r>
      <w:r w:rsidR="000D039D">
        <w:rPr>
          <w:rFonts w:cstheme="minorHAnsi"/>
        </w:rPr>
        <w:t>.</w:t>
      </w:r>
      <w:r w:rsidRPr="00352F4C">
        <w:rPr>
          <w:rFonts w:cstheme="minorHAnsi"/>
        </w:rPr>
        <w:t xml:space="preserve"> </w:t>
      </w:r>
      <w:r w:rsidR="000130B8">
        <w:rPr>
          <w:rFonts w:cstheme="minorHAnsi"/>
        </w:rPr>
        <w:t xml:space="preserve">  </w:t>
      </w:r>
      <w:r w:rsidR="00C631D1">
        <w:rPr>
          <w:rFonts w:cstheme="minorHAnsi"/>
        </w:rPr>
        <w:t xml:space="preserve">In reality, this could operate as a blanket ban on all asylum seekers.  </w:t>
      </w:r>
    </w:p>
    <w:p w14:paraId="06C88C26" w14:textId="1258E241" w:rsidR="00A40C95" w:rsidRDefault="000D039D" w:rsidP="008736E0">
      <w:pPr>
        <w:pStyle w:val="BodyText"/>
        <w:rPr>
          <w:rFonts w:cstheme="minorHAnsi"/>
        </w:rPr>
      </w:pPr>
      <w:r>
        <w:rPr>
          <w:rFonts w:cstheme="minorHAnsi"/>
        </w:rPr>
        <w:t>T</w:t>
      </w:r>
      <w:r w:rsidR="00A40C95" w:rsidRPr="00352F4C">
        <w:rPr>
          <w:rFonts w:cstheme="minorHAnsi"/>
        </w:rPr>
        <w:t>he Proposed Rule</w:t>
      </w:r>
      <w:r>
        <w:rPr>
          <w:rFonts w:cstheme="minorHAnsi"/>
        </w:rPr>
        <w:t xml:space="preserve"> also</w:t>
      </w:r>
      <w:r w:rsidR="00A40C95" w:rsidRPr="00352F4C">
        <w:rPr>
          <w:rFonts w:cstheme="minorHAnsi"/>
        </w:rPr>
        <w:t xml:space="preserve"> assume</w:t>
      </w:r>
      <w:r>
        <w:rPr>
          <w:rFonts w:cstheme="minorHAnsi"/>
        </w:rPr>
        <w:t>s</w:t>
      </w:r>
      <w:r w:rsidR="00A40C95" w:rsidRPr="00352F4C">
        <w:rPr>
          <w:rFonts w:cstheme="minorHAnsi"/>
        </w:rPr>
        <w:t xml:space="preserve"> that internal relocation is</w:t>
      </w:r>
      <w:r w:rsidR="003423B2">
        <w:rPr>
          <w:rFonts w:cstheme="minorHAnsi"/>
        </w:rPr>
        <w:t xml:space="preserve"> </w:t>
      </w:r>
      <w:r w:rsidR="00A40C95" w:rsidRPr="00352F4C">
        <w:rPr>
          <w:rFonts w:cstheme="minorHAnsi"/>
        </w:rPr>
        <w:t xml:space="preserve">reasonable if the asylum seeker comes from a large country, or if the persecutor lacks “numerosity.”  Proposed Rule §§ 208.13(b)(3), 1208.13(b)(3), 1208.16(b)(3); Notice at 66.  </w:t>
      </w:r>
      <w:r w:rsidR="003423B2">
        <w:rPr>
          <w:rFonts w:cstheme="minorHAnsi"/>
        </w:rPr>
        <w:t xml:space="preserve">This ignores the requirement that asylum adjudications be </w:t>
      </w:r>
      <w:r w:rsidR="000130B8">
        <w:rPr>
          <w:rFonts w:cstheme="minorHAnsi"/>
        </w:rPr>
        <w:t>performed</w:t>
      </w:r>
      <w:r w:rsidR="003423B2">
        <w:rPr>
          <w:rFonts w:cstheme="minorHAnsi"/>
        </w:rPr>
        <w:t xml:space="preserve"> on a case-by-case basis.  Moreover, it is patently wrong in the context of LGBTQ/H asylum seekers who routinely face persecution nationwide in the largest countries in the world</w:t>
      </w:r>
      <w:r w:rsidR="00A40C95" w:rsidRPr="00352F4C">
        <w:rPr>
          <w:rFonts w:cstheme="minorHAnsi"/>
        </w:rPr>
        <w:t>.</w:t>
      </w:r>
      <w:r w:rsidR="003423B2">
        <w:rPr>
          <w:rFonts w:cstheme="minorHAnsi"/>
        </w:rPr>
        <w:t xml:space="preserve">  [</w:t>
      </w:r>
      <w:r w:rsidR="003423B2" w:rsidRPr="003423B2">
        <w:rPr>
          <w:rFonts w:cstheme="minorHAnsi"/>
          <w:highlight w:val="yellow"/>
        </w:rPr>
        <w:t>Insert relevant examples and case stories</w:t>
      </w:r>
      <w:r w:rsidR="003423B2">
        <w:rPr>
          <w:rFonts w:cstheme="minorHAnsi"/>
        </w:rPr>
        <w:t>.]</w:t>
      </w:r>
      <w:r w:rsidR="00A40C95" w:rsidRPr="00352F4C">
        <w:rPr>
          <w:rFonts w:cstheme="minorHAnsi"/>
        </w:rPr>
        <w:t xml:space="preserve">  </w:t>
      </w:r>
    </w:p>
    <w:p w14:paraId="52E7216E" w14:textId="52550EB5" w:rsidR="00EF434C" w:rsidRDefault="00546C50" w:rsidP="00034B87">
      <w:pPr>
        <w:ind w:firstLine="720"/>
      </w:pPr>
      <w:r>
        <w:t>Further</w:t>
      </w:r>
      <w:r w:rsidR="003423B2">
        <w:t xml:space="preserve">, the </w:t>
      </w:r>
      <w:r w:rsidR="005E42D5">
        <w:t xml:space="preserve">Proposed Rule </w:t>
      </w:r>
      <w:r w:rsidR="003423B2" w:rsidRPr="004A19BB">
        <w:t xml:space="preserve">would require </w:t>
      </w:r>
      <w:r w:rsidR="005E42D5">
        <w:t xml:space="preserve">asylum seekers who have already </w:t>
      </w:r>
      <w:r w:rsidR="000E7E4C">
        <w:t>survived</w:t>
      </w:r>
      <w:r w:rsidR="005E42D5">
        <w:t xml:space="preserve"> persecution</w:t>
      </w:r>
      <w:r w:rsidR="003423B2" w:rsidRPr="004A19BB">
        <w:t xml:space="preserve"> to prove that they cannot reasonably relocate </w:t>
      </w:r>
      <w:r w:rsidR="003423B2">
        <w:t xml:space="preserve">if the persecutor is deemed “non-governmental.” </w:t>
      </w:r>
      <w:r w:rsidR="003423B2" w:rsidRPr="00D917D0">
        <w:t>8 CFR § 208.13(3)</w:t>
      </w:r>
      <w:r w:rsidR="003423B2">
        <w:t>(iv)</w:t>
      </w:r>
      <w:r w:rsidR="003423B2" w:rsidRPr="00D917D0">
        <w:t>; 8 CFR § 1208.13(3</w:t>
      </w:r>
      <w:r w:rsidR="003423B2">
        <w:t>)(iv).</w:t>
      </w:r>
      <w:r w:rsidR="005E42D5">
        <w:t xml:space="preserve">  The Proposed Rule then severely limits the definition of government officials to exclude officials and actions</w:t>
      </w:r>
      <w:r w:rsidR="000130B8">
        <w:t xml:space="preserve"> performed</w:t>
      </w:r>
      <w:r w:rsidR="005E42D5">
        <w:t xml:space="preserve"> “absent evidence that the government sponsored the persecution.”  This ignores the reality of LGBTQ/H asylum seekers do not have the luxury of investigating whether a particular government actor’s violent acts were “sponsored by the government”</w:t>
      </w:r>
      <w:r w:rsidR="00034B87">
        <w:t xml:space="preserve"> or not.</w:t>
      </w:r>
      <w:r w:rsidR="00C631D1">
        <w:t xml:space="preserve"> It also ignores the fact that many nations exist with systemic anti-LGBTQ bias. When anti-LGBTQ violence is the norm, evidence of official government sponsorship of persecution is unlikely to exist.  </w:t>
      </w:r>
      <w:r w:rsidR="005E42D5">
        <w:t xml:space="preserve">  </w:t>
      </w:r>
    </w:p>
    <w:p w14:paraId="028A6A50" w14:textId="77777777" w:rsidR="00546C50" w:rsidRDefault="00546C50" w:rsidP="00034B87">
      <w:pPr>
        <w:ind w:firstLine="720"/>
      </w:pPr>
    </w:p>
    <w:p w14:paraId="60C159F9" w14:textId="15AF6E40" w:rsidR="00546C50" w:rsidRDefault="00A40C95" w:rsidP="00034B87">
      <w:pPr>
        <w:ind w:firstLine="720"/>
        <w:rPr>
          <w:rFonts w:cstheme="minorHAnsi"/>
        </w:rPr>
      </w:pPr>
      <w:r w:rsidRPr="00352F4C">
        <w:rPr>
          <w:rFonts w:cstheme="minorHAnsi"/>
        </w:rPr>
        <w:t xml:space="preserve">At the same time, </w:t>
      </w:r>
      <w:r w:rsidR="00034B87">
        <w:rPr>
          <w:rFonts w:cstheme="minorHAnsi"/>
        </w:rPr>
        <w:t xml:space="preserve">the Proposed Rule </w:t>
      </w:r>
      <w:r w:rsidRPr="00352F4C">
        <w:rPr>
          <w:rFonts w:cstheme="minorHAnsi"/>
        </w:rPr>
        <w:t xml:space="preserve">categorically </w:t>
      </w:r>
      <w:r w:rsidRPr="00352F4C">
        <w:rPr>
          <w:rFonts w:cstheme="minorHAnsi"/>
          <w:i/>
        </w:rPr>
        <w:t>excludes</w:t>
      </w:r>
      <w:r w:rsidRPr="00352F4C">
        <w:rPr>
          <w:rFonts w:cstheme="minorHAnsi"/>
        </w:rPr>
        <w:t xml:space="preserve"> forms of evidence necessary to show why internal relocation would be unreasonable.  Notice at 65, Proposed Rule §§ 208.1(g); 1208.1(g).</w:t>
      </w:r>
      <w:r w:rsidR="006838CC">
        <w:rPr>
          <w:rFonts w:cstheme="minorHAnsi"/>
        </w:rPr>
        <w:t xml:space="preserve">  </w:t>
      </w:r>
      <w:r w:rsidRPr="00352F4C">
        <w:rPr>
          <w:rFonts w:cstheme="minorHAnsi"/>
        </w:rPr>
        <w:t xml:space="preserve">As mentioned above, it is genuinely unclear how to distinguish impermissible evidence of “cultural stereotypes” from evidence of pervasive </w:t>
      </w:r>
      <w:r w:rsidR="00470197">
        <w:rPr>
          <w:rFonts w:cstheme="minorHAnsi"/>
        </w:rPr>
        <w:t>cultural bias</w:t>
      </w:r>
      <w:r w:rsidRPr="00352F4C">
        <w:rPr>
          <w:rFonts w:cstheme="minorHAnsi"/>
        </w:rPr>
        <w:t xml:space="preserve"> in a country.  The Proposed Rule calls into question well-established forms of evidence including social science and country conditions reports.  </w:t>
      </w:r>
    </w:p>
    <w:p w14:paraId="0C285740" w14:textId="77777777" w:rsidR="00546C50" w:rsidRDefault="00546C50" w:rsidP="00034B87">
      <w:pPr>
        <w:ind w:firstLine="720"/>
        <w:rPr>
          <w:rFonts w:cstheme="minorHAnsi"/>
        </w:rPr>
      </w:pPr>
    </w:p>
    <w:p w14:paraId="3B653911" w14:textId="060F19F1" w:rsidR="00A40C95" w:rsidRDefault="00A40C95" w:rsidP="00034B87">
      <w:pPr>
        <w:ind w:firstLine="720"/>
        <w:rPr>
          <w:rFonts w:cstheme="minorHAnsi"/>
        </w:rPr>
      </w:pPr>
      <w:r w:rsidRPr="00352F4C">
        <w:rPr>
          <w:rFonts w:cstheme="minorHAnsi"/>
        </w:rPr>
        <w:lastRenderedPageBreak/>
        <w:t>For LGBTQ</w:t>
      </w:r>
      <w:r w:rsidR="00EF434C">
        <w:rPr>
          <w:rFonts w:cstheme="minorHAnsi"/>
        </w:rPr>
        <w:t>/H</w:t>
      </w:r>
      <w:r w:rsidRPr="00352F4C">
        <w:rPr>
          <w:rFonts w:cstheme="minorHAnsi"/>
        </w:rPr>
        <w:t xml:space="preserve"> applicants fleeing private </w:t>
      </w:r>
      <w:r w:rsidR="00EF434C">
        <w:rPr>
          <w:rFonts w:cstheme="minorHAnsi"/>
        </w:rPr>
        <w:t xml:space="preserve">actor </w:t>
      </w:r>
      <w:r w:rsidRPr="00352F4C">
        <w:rPr>
          <w:rFonts w:cstheme="minorHAnsi"/>
        </w:rPr>
        <w:t xml:space="preserve">persecution, it creates an impossible scenario.  They would need to prove why no other part of the country was safe, </w:t>
      </w:r>
      <w:r w:rsidRPr="00352F4C">
        <w:rPr>
          <w:rFonts w:cstheme="minorHAnsi"/>
          <w:i/>
        </w:rPr>
        <w:t>without</w:t>
      </w:r>
      <w:r w:rsidRPr="00352F4C">
        <w:rPr>
          <w:rFonts w:cstheme="minorHAnsi"/>
        </w:rPr>
        <w:t xml:space="preserve"> using evidence of cultural </w:t>
      </w:r>
      <w:r w:rsidR="00470197">
        <w:rPr>
          <w:rFonts w:cstheme="minorHAnsi"/>
        </w:rPr>
        <w:t>norms</w:t>
      </w:r>
      <w:r w:rsidRPr="00352F4C">
        <w:rPr>
          <w:rFonts w:cstheme="minorHAnsi"/>
        </w:rPr>
        <w:t xml:space="preserve"> and persistent abuse, </w:t>
      </w:r>
      <w:r w:rsidRPr="00352F4C">
        <w:rPr>
          <w:rFonts w:cstheme="minorHAnsi"/>
          <w:i/>
        </w:rPr>
        <w:t>and</w:t>
      </w:r>
      <w:r w:rsidRPr="00352F4C">
        <w:rPr>
          <w:rFonts w:cstheme="minorHAnsi"/>
        </w:rPr>
        <w:t xml:space="preserve"> without referencing their own individual experience.</w:t>
      </w:r>
      <w:r w:rsidR="0029664C" w:rsidRPr="00352F4C">
        <w:rPr>
          <w:rFonts w:cstheme="minorHAnsi"/>
        </w:rPr>
        <w:t xml:space="preserve">  </w:t>
      </w:r>
      <w:r w:rsidR="00C13CFC" w:rsidRPr="00352F4C">
        <w:rPr>
          <w:rFonts w:cstheme="minorHAnsi"/>
        </w:rPr>
        <w:t xml:space="preserve">It is hard to conceive of any other evidence that would meet this burden. </w:t>
      </w:r>
    </w:p>
    <w:p w14:paraId="5B901A1F" w14:textId="77777777" w:rsidR="00EF434C" w:rsidRPr="00034B87" w:rsidRDefault="00EF434C" w:rsidP="00034B87">
      <w:pPr>
        <w:ind w:firstLine="720"/>
      </w:pPr>
    </w:p>
    <w:p w14:paraId="357C7F9C" w14:textId="523E454B" w:rsidR="000D039D" w:rsidRPr="00352F4C" w:rsidRDefault="000D039D" w:rsidP="00A40C95">
      <w:pPr>
        <w:pStyle w:val="BodyText"/>
        <w:rPr>
          <w:rFonts w:cstheme="minorHAnsi"/>
        </w:rPr>
      </w:pPr>
      <w:r w:rsidRPr="000D039D">
        <w:rPr>
          <w:rFonts w:cstheme="minorHAnsi"/>
          <w:highlight w:val="yellow"/>
        </w:rPr>
        <w:t>[Insert relevant examples or client stories.]</w:t>
      </w:r>
    </w:p>
    <w:p w14:paraId="680D0F8A" w14:textId="3CB52186" w:rsidR="00D20411" w:rsidRPr="00D20411" w:rsidRDefault="00EF434C" w:rsidP="00D20411">
      <w:pPr>
        <w:pStyle w:val="Heading2"/>
        <w:rPr>
          <w:rFonts w:cstheme="minorHAnsi"/>
        </w:rPr>
      </w:pPr>
      <w:r>
        <w:rPr>
          <w:rFonts w:cstheme="minorHAnsi"/>
        </w:rPr>
        <w:t>Unlawful, h</w:t>
      </w:r>
      <w:r w:rsidR="00D20411">
        <w:rPr>
          <w:rFonts w:cstheme="minorHAnsi"/>
        </w:rPr>
        <w:t>eightened standards for r</w:t>
      </w:r>
      <w:r w:rsidR="00D20411" w:rsidRPr="00352F4C">
        <w:rPr>
          <w:rFonts w:cstheme="minorHAnsi"/>
        </w:rPr>
        <w:t xml:space="preserve">easonable and </w:t>
      </w:r>
      <w:r w:rsidR="00D20411">
        <w:rPr>
          <w:rFonts w:cstheme="minorHAnsi"/>
        </w:rPr>
        <w:t>c</w:t>
      </w:r>
      <w:r w:rsidR="00D20411" w:rsidRPr="00352F4C">
        <w:rPr>
          <w:rFonts w:cstheme="minorHAnsi"/>
        </w:rPr>
        <w:t xml:space="preserve">redible </w:t>
      </w:r>
      <w:r w:rsidR="00D20411">
        <w:rPr>
          <w:rFonts w:cstheme="minorHAnsi"/>
        </w:rPr>
        <w:t>f</w:t>
      </w:r>
      <w:r w:rsidR="00D20411" w:rsidRPr="00352F4C">
        <w:rPr>
          <w:rFonts w:cstheme="minorHAnsi"/>
        </w:rPr>
        <w:t xml:space="preserve">ear </w:t>
      </w:r>
      <w:r w:rsidR="00D20411">
        <w:rPr>
          <w:rFonts w:cstheme="minorHAnsi"/>
        </w:rPr>
        <w:t>i</w:t>
      </w:r>
      <w:r w:rsidR="00D20411" w:rsidRPr="00352F4C">
        <w:rPr>
          <w:rFonts w:cstheme="minorHAnsi"/>
        </w:rPr>
        <w:t>nterviews</w:t>
      </w:r>
      <w:r w:rsidR="00D20411">
        <w:rPr>
          <w:rFonts w:cstheme="minorHAnsi"/>
        </w:rPr>
        <w:t xml:space="preserve"> will cause</w:t>
      </w:r>
      <w:r w:rsidR="00D20411" w:rsidRPr="00352F4C">
        <w:rPr>
          <w:rFonts w:cstheme="minorHAnsi"/>
        </w:rPr>
        <w:t xml:space="preserve"> </w:t>
      </w:r>
      <w:r w:rsidR="00D20411" w:rsidRPr="00D20411">
        <w:rPr>
          <w:rFonts w:cstheme="minorHAnsi"/>
        </w:rPr>
        <w:t xml:space="preserve">LGBTQ/H applicants to be returned to </w:t>
      </w:r>
      <w:r w:rsidR="00470197">
        <w:rPr>
          <w:rFonts w:cstheme="minorHAnsi"/>
        </w:rPr>
        <w:t>persecution.</w:t>
      </w:r>
      <w:r w:rsidR="00D20411" w:rsidRPr="00D20411">
        <w:rPr>
          <w:rFonts w:cstheme="minorHAnsi"/>
        </w:rPr>
        <w:t xml:space="preserve"> </w:t>
      </w:r>
    </w:p>
    <w:p w14:paraId="7B10CDD8" w14:textId="0AF1B22A" w:rsidR="00D20411" w:rsidRPr="00352F4C" w:rsidRDefault="00D20411" w:rsidP="00EF434C">
      <w:pPr>
        <w:pStyle w:val="BodyText"/>
        <w:rPr>
          <w:rFonts w:cstheme="minorHAnsi"/>
        </w:rPr>
      </w:pPr>
      <w:r w:rsidRPr="00D20411">
        <w:rPr>
          <w:rFonts w:cstheme="minorHAnsi"/>
        </w:rPr>
        <w:t xml:space="preserve">The Proposed Rule </w:t>
      </w:r>
      <w:r w:rsidRPr="00D20411">
        <w:rPr>
          <w:rFonts w:cstheme="minorHAnsi"/>
          <w:color w:val="000000"/>
        </w:rPr>
        <w:t>unlawfully heightens the statutory standards for establishing a credible</w:t>
      </w:r>
      <w:r>
        <w:rPr>
          <w:rFonts w:cstheme="minorHAnsi"/>
          <w:color w:val="000000"/>
        </w:rPr>
        <w:t xml:space="preserve"> or </w:t>
      </w:r>
      <w:r w:rsidRPr="00D20411">
        <w:rPr>
          <w:rFonts w:cstheme="minorHAnsi"/>
          <w:color w:val="000000"/>
        </w:rPr>
        <w:t xml:space="preserve">reasonable fear of persecution.  </w:t>
      </w:r>
      <w:r w:rsidR="00470197">
        <w:rPr>
          <w:rFonts w:cstheme="minorHAnsi"/>
          <w:color w:val="000000"/>
        </w:rPr>
        <w:t xml:space="preserve">Many </w:t>
      </w:r>
      <w:r w:rsidRPr="00352F4C">
        <w:rPr>
          <w:rFonts w:cstheme="minorHAnsi"/>
        </w:rPr>
        <w:t xml:space="preserve">LGBTQ/H applicants are profoundly traumatized, exhausted, terrified, unaware of the legal process, and subject to language and cultural barriers when they arrive at the border.  They are often </w:t>
      </w:r>
      <w:r w:rsidR="00470197">
        <w:rPr>
          <w:rFonts w:cstheme="minorHAnsi"/>
        </w:rPr>
        <w:t>living with</w:t>
      </w:r>
      <w:r w:rsidRPr="00352F4C">
        <w:rPr>
          <w:rFonts w:cstheme="minorHAnsi"/>
        </w:rPr>
        <w:t xml:space="preserve"> physical and psychological effects of their trauma.  </w:t>
      </w:r>
      <w:r w:rsidR="00470197">
        <w:rPr>
          <w:rFonts w:cstheme="minorHAnsi"/>
        </w:rPr>
        <w:t xml:space="preserve">Such individuals </w:t>
      </w:r>
      <w:r w:rsidRPr="00352F4C">
        <w:rPr>
          <w:rFonts w:cstheme="minorHAnsi"/>
        </w:rPr>
        <w:t>will not have time to collect their thoughts, let alone engage in the deliberate process of gathering corroborative evidence to support highly fact-specific inquiries</w:t>
      </w:r>
      <w:r w:rsidR="00470197">
        <w:rPr>
          <w:rFonts w:cstheme="minorHAnsi"/>
        </w:rPr>
        <w:t xml:space="preserve"> at an interview screening</w:t>
      </w:r>
      <w:r w:rsidRPr="00352F4C">
        <w:rPr>
          <w:rFonts w:cstheme="minorHAnsi"/>
        </w:rPr>
        <w:t xml:space="preserve">.  </w:t>
      </w:r>
    </w:p>
    <w:p w14:paraId="4EB5DF03" w14:textId="77777777" w:rsidR="00D20411" w:rsidRPr="00352F4C" w:rsidRDefault="00D20411" w:rsidP="00D20411">
      <w:pPr>
        <w:pStyle w:val="BodyText"/>
        <w:rPr>
          <w:rFonts w:cstheme="minorHAnsi"/>
        </w:rPr>
      </w:pPr>
      <w:r w:rsidRPr="00352F4C">
        <w:rPr>
          <w:rFonts w:cstheme="minorHAnsi"/>
        </w:rPr>
        <w:t>As discussed above, LGBTQ asylum seekers already face unique obstacles in disclosing their status.  This heightened standard will increase the already present risk and result of refoulement where they face severe harm and death.</w:t>
      </w:r>
    </w:p>
    <w:p w14:paraId="3239668F" w14:textId="353F199F" w:rsidR="00D20411" w:rsidRDefault="00D20411" w:rsidP="00D20411">
      <w:pPr>
        <w:pStyle w:val="BodyText"/>
        <w:rPr>
          <w:rFonts w:cstheme="minorHAnsi"/>
        </w:rPr>
      </w:pPr>
      <w:r w:rsidRPr="00352F4C">
        <w:rPr>
          <w:rFonts w:cstheme="minorHAnsi"/>
        </w:rPr>
        <w:t xml:space="preserve">Moreover, those who pass their screenings will be referred into asylum/withholding only proceedings, preventing them from applying from any other survivor-based relief that could apply (e.g., human trafficking, domestic violence).  </w:t>
      </w:r>
      <w:r w:rsidR="00470197">
        <w:rPr>
          <w:rFonts w:cstheme="minorHAnsi"/>
        </w:rPr>
        <w:t xml:space="preserve">There is no governmental interest that justifies denying LGBTQ asylum seekers additional pathways to safety. </w:t>
      </w:r>
    </w:p>
    <w:p w14:paraId="5F204813" w14:textId="77777777" w:rsidR="00D20411" w:rsidRPr="00352F4C" w:rsidRDefault="00D20411" w:rsidP="00D20411">
      <w:pPr>
        <w:pStyle w:val="BodyText"/>
        <w:rPr>
          <w:rFonts w:cstheme="minorHAnsi"/>
        </w:rPr>
      </w:pPr>
      <w:r w:rsidRPr="00064FFF">
        <w:rPr>
          <w:rFonts w:cstheme="minorHAnsi"/>
          <w:highlight w:val="yellow"/>
        </w:rPr>
        <w:t>[Insert specific examples of the impact on clients.]</w:t>
      </w:r>
    </w:p>
    <w:p w14:paraId="2939ABD2" w14:textId="41312635" w:rsidR="00FC1C7D" w:rsidRPr="00352F4C" w:rsidRDefault="006838CC" w:rsidP="001B037B">
      <w:pPr>
        <w:pStyle w:val="Heading2"/>
        <w:rPr>
          <w:rFonts w:cstheme="minorHAnsi"/>
        </w:rPr>
      </w:pPr>
      <w:r>
        <w:rPr>
          <w:rFonts w:cstheme="minorHAnsi"/>
        </w:rPr>
        <w:t xml:space="preserve">LGBTQ/H </w:t>
      </w:r>
      <w:r w:rsidR="00EF434C">
        <w:rPr>
          <w:rFonts w:cstheme="minorHAnsi"/>
        </w:rPr>
        <w:t xml:space="preserve">asylum </w:t>
      </w:r>
      <w:r w:rsidRPr="00352F4C">
        <w:rPr>
          <w:rFonts w:cstheme="minorHAnsi"/>
        </w:rPr>
        <w:t>claims deserve factfinding and a hearing, not pretermission</w:t>
      </w:r>
      <w:r w:rsidR="00CB2E16" w:rsidRPr="00352F4C">
        <w:rPr>
          <w:rFonts w:cstheme="minorHAnsi"/>
        </w:rPr>
        <w:t>.</w:t>
      </w:r>
    </w:p>
    <w:p w14:paraId="24816F55" w14:textId="3C0A12C9" w:rsidR="00D5443F" w:rsidRPr="00352F4C" w:rsidRDefault="00CB2E16" w:rsidP="0010653C">
      <w:pPr>
        <w:pStyle w:val="BodyText"/>
        <w:rPr>
          <w:rFonts w:cstheme="minorHAnsi"/>
        </w:rPr>
      </w:pPr>
      <w:r w:rsidRPr="00352F4C">
        <w:rPr>
          <w:rFonts w:cstheme="minorHAnsi"/>
        </w:rPr>
        <w:t xml:space="preserve">The Proposed Rule adds a paragraph that would enable </w:t>
      </w:r>
      <w:r w:rsidR="00EF434C">
        <w:rPr>
          <w:rFonts w:cstheme="minorHAnsi"/>
        </w:rPr>
        <w:t>i</w:t>
      </w:r>
      <w:r w:rsidRPr="00352F4C">
        <w:rPr>
          <w:rFonts w:cstheme="minorHAnsi"/>
        </w:rPr>
        <w:t xml:space="preserve">mmigration </w:t>
      </w:r>
      <w:r w:rsidR="00EF434C">
        <w:rPr>
          <w:rFonts w:cstheme="minorHAnsi"/>
        </w:rPr>
        <w:t>j</w:t>
      </w:r>
      <w:r w:rsidRPr="00352F4C">
        <w:rPr>
          <w:rFonts w:cstheme="minorHAnsi"/>
        </w:rPr>
        <w:t>udges to fast-track the denial of an application for asylum, withholding</w:t>
      </w:r>
      <w:r w:rsidR="00EF434C">
        <w:rPr>
          <w:rFonts w:cstheme="minorHAnsi"/>
        </w:rPr>
        <w:t xml:space="preserve"> of removal</w:t>
      </w:r>
      <w:r w:rsidRPr="00352F4C">
        <w:rPr>
          <w:rFonts w:cstheme="minorHAnsi"/>
        </w:rPr>
        <w:t xml:space="preserve">, or </w:t>
      </w:r>
      <w:r w:rsidR="00EF434C">
        <w:rPr>
          <w:rFonts w:cstheme="minorHAnsi"/>
        </w:rPr>
        <w:t>Convention Against Torture</w:t>
      </w:r>
      <w:r w:rsidRPr="00352F4C">
        <w:rPr>
          <w:rFonts w:cstheme="minorHAnsi"/>
        </w:rPr>
        <w:t xml:space="preserve"> relief based solely on the I-589 </w:t>
      </w:r>
      <w:r w:rsidR="00EF434C">
        <w:rPr>
          <w:rFonts w:cstheme="minorHAnsi"/>
        </w:rPr>
        <w:t xml:space="preserve">application </w:t>
      </w:r>
      <w:r w:rsidRPr="00352F4C">
        <w:rPr>
          <w:rFonts w:cstheme="minorHAnsi"/>
        </w:rPr>
        <w:t xml:space="preserve">and the supporting evidence.  </w:t>
      </w:r>
      <w:r w:rsidR="005859E0" w:rsidRPr="00352F4C">
        <w:rPr>
          <w:rFonts w:cstheme="minorHAnsi"/>
        </w:rPr>
        <w:t>1208.13(e); Notice at 47–49.</w:t>
      </w:r>
      <w:r w:rsidR="00150213" w:rsidRPr="00352F4C">
        <w:rPr>
          <w:rFonts w:cstheme="minorHAnsi"/>
        </w:rPr>
        <w:t xml:space="preserve">  They will be able to do this on their own initiative or at the request of a DHS attorney, with limited opportunity from the applicant to rebut such a finding.  </w:t>
      </w:r>
    </w:p>
    <w:p w14:paraId="1498D3C4" w14:textId="32BC5E7B" w:rsidR="00F87EBF" w:rsidRPr="00352F4C" w:rsidRDefault="00CB2E16" w:rsidP="0010653C">
      <w:pPr>
        <w:pStyle w:val="BodyText"/>
        <w:rPr>
          <w:rFonts w:cstheme="minorHAnsi"/>
        </w:rPr>
      </w:pPr>
      <w:r w:rsidRPr="00352F4C">
        <w:rPr>
          <w:rFonts w:cstheme="minorHAnsi"/>
        </w:rPr>
        <w:t>This Proposed Rule is profoundly harmful</w:t>
      </w:r>
      <w:r w:rsidR="00150213" w:rsidRPr="00352F4C">
        <w:rPr>
          <w:rFonts w:cstheme="minorHAnsi"/>
        </w:rPr>
        <w:t xml:space="preserve"> to the integrity of the U</w:t>
      </w:r>
      <w:r w:rsidR="006838CC">
        <w:rPr>
          <w:rFonts w:cstheme="minorHAnsi"/>
        </w:rPr>
        <w:t>.</w:t>
      </w:r>
      <w:r w:rsidR="00150213" w:rsidRPr="00352F4C">
        <w:rPr>
          <w:rFonts w:cstheme="minorHAnsi"/>
        </w:rPr>
        <w:t>S</w:t>
      </w:r>
      <w:r w:rsidR="006838CC">
        <w:rPr>
          <w:rFonts w:cstheme="minorHAnsi"/>
        </w:rPr>
        <w:t>.</w:t>
      </w:r>
      <w:r w:rsidR="00150213" w:rsidRPr="00352F4C">
        <w:rPr>
          <w:rFonts w:cstheme="minorHAnsi"/>
        </w:rPr>
        <w:t xml:space="preserve"> asylum system</w:t>
      </w:r>
      <w:r w:rsidRPr="00352F4C">
        <w:rPr>
          <w:rFonts w:cstheme="minorHAnsi"/>
        </w:rPr>
        <w:t xml:space="preserve">.  </w:t>
      </w:r>
      <w:r w:rsidR="002B0EA4" w:rsidRPr="00352F4C">
        <w:rPr>
          <w:rFonts w:cstheme="minorHAnsi"/>
        </w:rPr>
        <w:t>“</w:t>
      </w:r>
      <w:r w:rsidRPr="00352F4C">
        <w:rPr>
          <w:rFonts w:cstheme="minorHAnsi"/>
        </w:rPr>
        <w:t>Pretermission</w:t>
      </w:r>
      <w:r w:rsidR="002B0EA4" w:rsidRPr="00352F4C">
        <w:rPr>
          <w:rFonts w:cstheme="minorHAnsi"/>
        </w:rPr>
        <w:t>”</w:t>
      </w:r>
      <w:r w:rsidRPr="00352F4C">
        <w:rPr>
          <w:rFonts w:cstheme="minorHAnsi"/>
        </w:rPr>
        <w:t xml:space="preserve"> will certainly be used, early and often.  The DOJ has imposed performance quotas on </w:t>
      </w:r>
      <w:r w:rsidR="00EF434C">
        <w:rPr>
          <w:rFonts w:cstheme="minorHAnsi"/>
        </w:rPr>
        <w:t>i</w:t>
      </w:r>
      <w:r w:rsidRPr="00352F4C">
        <w:rPr>
          <w:rFonts w:cstheme="minorHAnsi"/>
        </w:rPr>
        <w:t xml:space="preserve">mmigration </w:t>
      </w:r>
      <w:r w:rsidR="00EF434C">
        <w:rPr>
          <w:rFonts w:cstheme="minorHAnsi"/>
        </w:rPr>
        <w:t>j</w:t>
      </w:r>
      <w:r w:rsidRPr="00352F4C">
        <w:rPr>
          <w:rFonts w:cstheme="minorHAnsi"/>
        </w:rPr>
        <w:t>udges, tying their job security to how many claims they process.</w:t>
      </w:r>
      <w:r w:rsidRPr="00352F4C">
        <w:rPr>
          <w:rStyle w:val="FootnoteReference"/>
          <w:rFonts w:cstheme="minorHAnsi"/>
        </w:rPr>
        <w:footnoteReference w:id="43"/>
      </w:r>
      <w:r w:rsidRPr="00352F4C">
        <w:rPr>
          <w:rFonts w:cstheme="minorHAnsi"/>
        </w:rPr>
        <w:t xml:space="preserve">  As a result, Immigration Judges will be strongly incentivized to pretermit as many cases as possible.  </w:t>
      </w:r>
    </w:p>
    <w:p w14:paraId="4600CF68" w14:textId="7D19F2E3" w:rsidR="00FC1C7D" w:rsidRPr="00352F4C" w:rsidRDefault="00470197" w:rsidP="0010653C">
      <w:pPr>
        <w:pStyle w:val="BodyText"/>
        <w:rPr>
          <w:rFonts w:cstheme="minorHAnsi"/>
        </w:rPr>
      </w:pPr>
      <w:r>
        <w:rPr>
          <w:rFonts w:cstheme="minorHAnsi"/>
        </w:rPr>
        <w:lastRenderedPageBreak/>
        <w:t>However,</w:t>
      </w:r>
      <w:r w:rsidR="00546C50">
        <w:rPr>
          <w:rFonts w:cstheme="minorHAnsi"/>
        </w:rPr>
        <w:t xml:space="preserve"> f</w:t>
      </w:r>
      <w:r w:rsidR="00546C50" w:rsidRPr="00352F4C">
        <w:rPr>
          <w:rFonts w:cstheme="minorHAnsi"/>
        </w:rPr>
        <w:t>air</w:t>
      </w:r>
      <w:r>
        <w:rPr>
          <w:rFonts w:cstheme="minorHAnsi"/>
        </w:rPr>
        <w:t xml:space="preserve"> and</w:t>
      </w:r>
      <w:r w:rsidR="00546C50" w:rsidRPr="00352F4C">
        <w:rPr>
          <w:rFonts w:cstheme="minorHAnsi"/>
        </w:rPr>
        <w:t xml:space="preserve"> thorough adjudication of a humanitarian claim takes time</w:t>
      </w:r>
      <w:r w:rsidR="00546C50">
        <w:rPr>
          <w:rFonts w:cstheme="minorHAnsi"/>
        </w:rPr>
        <w:t xml:space="preserve"> and </w:t>
      </w:r>
      <w:r w:rsidR="00CB2E16" w:rsidRPr="00352F4C">
        <w:rPr>
          <w:rFonts w:cstheme="minorHAnsi"/>
        </w:rPr>
        <w:t>e</w:t>
      </w:r>
      <w:r w:rsidR="00D5443F" w:rsidRPr="00352F4C">
        <w:rPr>
          <w:rFonts w:cstheme="minorHAnsi"/>
        </w:rPr>
        <w:t>very</w:t>
      </w:r>
      <w:r w:rsidR="00CB2E16" w:rsidRPr="00352F4C">
        <w:rPr>
          <w:rFonts w:cstheme="minorHAnsi"/>
        </w:rPr>
        <w:t xml:space="preserve"> asylum seeke</w:t>
      </w:r>
      <w:r w:rsidR="00150213" w:rsidRPr="00352F4C">
        <w:rPr>
          <w:rFonts w:cstheme="minorHAnsi"/>
        </w:rPr>
        <w:t xml:space="preserve">r is entitled to </w:t>
      </w:r>
      <w:r>
        <w:rPr>
          <w:rFonts w:cstheme="minorHAnsi"/>
        </w:rPr>
        <w:t>their</w:t>
      </w:r>
      <w:r w:rsidR="00150213" w:rsidRPr="00352F4C">
        <w:rPr>
          <w:rFonts w:cstheme="minorHAnsi"/>
        </w:rPr>
        <w:t xml:space="preserve"> day in court.  </w:t>
      </w:r>
      <w:r w:rsidR="00150213" w:rsidRPr="00352F4C">
        <w:rPr>
          <w:rFonts w:cstheme="minorHAnsi"/>
          <w:i/>
        </w:rPr>
        <w:t xml:space="preserve">See In re </w:t>
      </w:r>
      <w:proofErr w:type="spellStart"/>
      <w:r w:rsidR="00150213" w:rsidRPr="00352F4C">
        <w:rPr>
          <w:rFonts w:cstheme="minorHAnsi"/>
          <w:i/>
        </w:rPr>
        <w:t>Fefe</w:t>
      </w:r>
      <w:proofErr w:type="spellEnd"/>
      <w:r w:rsidR="00150213" w:rsidRPr="00352F4C">
        <w:rPr>
          <w:rFonts w:cstheme="minorHAnsi"/>
        </w:rPr>
        <w:t xml:space="preserve">, 20 I &amp; N. 116, 118 (B.I.A. 1989) (“In the ordinary course, however, we consider the full examination of an applicant to be an essential aspect of the asylum adjudication process for reasons related to the fairness and to the integrity of the asylum process itself.”)  </w:t>
      </w:r>
      <w:r w:rsidR="00D5443F" w:rsidRPr="00352F4C">
        <w:rPr>
          <w:rFonts w:cstheme="minorHAnsi"/>
        </w:rPr>
        <w:t>Refugees</w:t>
      </w:r>
      <w:r w:rsidR="00CB2E16" w:rsidRPr="00352F4C">
        <w:rPr>
          <w:rFonts w:cstheme="minorHAnsi"/>
        </w:rPr>
        <w:t xml:space="preserve"> </w:t>
      </w:r>
      <w:r w:rsidR="00EF434C">
        <w:rPr>
          <w:rFonts w:cstheme="minorHAnsi"/>
        </w:rPr>
        <w:t xml:space="preserve">often </w:t>
      </w:r>
      <w:r w:rsidR="00150213" w:rsidRPr="00352F4C">
        <w:rPr>
          <w:rFonts w:cstheme="minorHAnsi"/>
        </w:rPr>
        <w:t xml:space="preserve">suffer severe harm against </w:t>
      </w:r>
      <w:r w:rsidR="00CB2E16" w:rsidRPr="00352F4C">
        <w:rPr>
          <w:rFonts w:cstheme="minorHAnsi"/>
        </w:rPr>
        <w:t>insurmountable odds to travel to U</w:t>
      </w:r>
      <w:r w:rsidR="006838CC">
        <w:rPr>
          <w:rFonts w:cstheme="minorHAnsi"/>
        </w:rPr>
        <w:t>.</w:t>
      </w:r>
      <w:r w:rsidR="00CB2E16" w:rsidRPr="00352F4C">
        <w:rPr>
          <w:rFonts w:cstheme="minorHAnsi"/>
        </w:rPr>
        <w:t>S</w:t>
      </w:r>
      <w:r w:rsidR="006838CC">
        <w:rPr>
          <w:rFonts w:cstheme="minorHAnsi"/>
        </w:rPr>
        <w:t>.</w:t>
      </w:r>
      <w:r w:rsidR="00CB2E16" w:rsidRPr="00352F4C">
        <w:rPr>
          <w:rFonts w:cstheme="minorHAnsi"/>
        </w:rPr>
        <w:t xml:space="preserve"> for safety</w:t>
      </w:r>
      <w:r w:rsidR="00D5443F" w:rsidRPr="00352F4C">
        <w:rPr>
          <w:rFonts w:cstheme="minorHAnsi"/>
        </w:rPr>
        <w:t xml:space="preserve">.  Denying human rights claims on the papers is a radical approach that would result in </w:t>
      </w:r>
      <w:r w:rsidR="00150213" w:rsidRPr="00352F4C">
        <w:rPr>
          <w:rFonts w:cstheme="minorHAnsi"/>
        </w:rPr>
        <w:t xml:space="preserve">unprecedented refoulement. </w:t>
      </w:r>
    </w:p>
    <w:p w14:paraId="2821B461" w14:textId="60A8BFF5" w:rsidR="00FC1C7D" w:rsidRPr="00352F4C" w:rsidRDefault="00CB2E16" w:rsidP="0010653C">
      <w:pPr>
        <w:pStyle w:val="BodyText"/>
        <w:rPr>
          <w:rFonts w:cstheme="minorHAnsi"/>
        </w:rPr>
      </w:pPr>
      <w:r w:rsidRPr="00352F4C">
        <w:rPr>
          <w:rFonts w:cstheme="minorHAnsi"/>
        </w:rPr>
        <w:t>Pretermission will fall on unrepresented or detained claimants, and will affect LGBTQ</w:t>
      </w:r>
      <w:r w:rsidR="00EF434C">
        <w:rPr>
          <w:rFonts w:cstheme="minorHAnsi"/>
        </w:rPr>
        <w:t xml:space="preserve"> </w:t>
      </w:r>
      <w:r w:rsidRPr="00352F4C">
        <w:rPr>
          <w:rFonts w:cstheme="minorHAnsi"/>
        </w:rPr>
        <w:t xml:space="preserve">individuals in particular.  As discussed above, LGBTQ individuals fleeing persecution </w:t>
      </w:r>
      <w:r w:rsidR="00D5443F" w:rsidRPr="00352F4C">
        <w:rPr>
          <w:rFonts w:cstheme="minorHAnsi"/>
        </w:rPr>
        <w:t xml:space="preserve">may not (1) immediately identify as LGBTQ, (2) feel safe disclosing that they are LGBTQ, or (3) understand that their LGBTQ status provides a claim for asylum.  Indeed, it is often after a thorough examination that many LGBTQ refugees understand they have a claim at all.  Dismissing </w:t>
      </w:r>
      <w:r w:rsidRPr="00352F4C">
        <w:rPr>
          <w:rFonts w:cstheme="minorHAnsi"/>
        </w:rPr>
        <w:t>these claims</w:t>
      </w:r>
      <w:r w:rsidR="00D5443F" w:rsidRPr="00352F4C">
        <w:rPr>
          <w:rFonts w:cstheme="minorHAnsi"/>
        </w:rPr>
        <w:t xml:space="preserve"> without any factual investigation is </w:t>
      </w:r>
      <w:r w:rsidR="00546C50">
        <w:rPr>
          <w:rFonts w:cstheme="minorHAnsi"/>
        </w:rPr>
        <w:t>unconscionable</w:t>
      </w:r>
      <w:r w:rsidR="00D5443F" w:rsidRPr="00352F4C">
        <w:rPr>
          <w:rFonts w:cstheme="minorHAnsi"/>
        </w:rPr>
        <w:t>.</w:t>
      </w:r>
    </w:p>
    <w:p w14:paraId="3011C0C9" w14:textId="1BFD4882" w:rsidR="00FC1C7D" w:rsidRPr="00352F4C" w:rsidRDefault="00EF434C" w:rsidP="001B037B">
      <w:pPr>
        <w:pStyle w:val="Heading2"/>
        <w:rPr>
          <w:rFonts w:cstheme="minorHAnsi"/>
        </w:rPr>
      </w:pPr>
      <w:r>
        <w:rPr>
          <w:rFonts w:cstheme="minorHAnsi"/>
        </w:rPr>
        <w:t xml:space="preserve">The Proposed Rule makes Convention Against Torture Relief </w:t>
      </w:r>
      <w:r w:rsidR="00845924">
        <w:rPr>
          <w:rFonts w:cstheme="minorHAnsi"/>
        </w:rPr>
        <w:t>unavailable for most LGBTQ/H people.</w:t>
      </w:r>
    </w:p>
    <w:p w14:paraId="341DA6CD" w14:textId="79E812F2" w:rsidR="00637565" w:rsidRPr="00352F4C" w:rsidRDefault="00CB2E16" w:rsidP="0010653C">
      <w:pPr>
        <w:pStyle w:val="BodyText"/>
        <w:rPr>
          <w:rFonts w:cstheme="minorHAnsi"/>
        </w:rPr>
      </w:pPr>
      <w:r w:rsidRPr="00352F4C">
        <w:rPr>
          <w:rFonts w:cstheme="minorHAnsi"/>
        </w:rPr>
        <w:t>The Proposed Rule would amend the regulations implementing the Convention Against Torture</w:t>
      </w:r>
      <w:r w:rsidR="00EF434C">
        <w:rPr>
          <w:rFonts w:cstheme="minorHAnsi"/>
          <w:color w:val="000000"/>
        </w:rPr>
        <w:t xml:space="preserve"> </w:t>
      </w:r>
      <w:r w:rsidR="000E7E4C">
        <w:rPr>
          <w:rFonts w:cstheme="minorHAnsi"/>
          <w:color w:val="000000"/>
        </w:rPr>
        <w:t>(“CAT</w:t>
      </w:r>
      <w:r w:rsidR="008A4F8B">
        <w:rPr>
          <w:rFonts w:cstheme="minorHAnsi"/>
          <w:color w:val="000000"/>
        </w:rPr>
        <w:t xml:space="preserve">”) </w:t>
      </w:r>
      <w:r w:rsidR="00845924">
        <w:rPr>
          <w:rFonts w:cstheme="minorHAnsi"/>
        </w:rPr>
        <w:t>severely limiting</w:t>
      </w:r>
      <w:r w:rsidR="00F87EBF" w:rsidRPr="00352F4C">
        <w:rPr>
          <w:rFonts w:cstheme="minorHAnsi"/>
        </w:rPr>
        <w:t xml:space="preserve"> CAT relief.  </w:t>
      </w:r>
      <w:r w:rsidR="008B0F06" w:rsidRPr="00352F4C">
        <w:rPr>
          <w:rFonts w:cstheme="minorHAnsi"/>
        </w:rPr>
        <w:t xml:space="preserve">Under the Proposed Rule, in order to show that a public official inflicted, instigated, consented to, or acquiesced to torture, an applicant must show that the public official was acting “under color of law.”  Notice at 83.  Moreover, under the Proposed Rule, a public official will not be found to have </w:t>
      </w:r>
      <w:r w:rsidRPr="00352F4C">
        <w:rPr>
          <w:rFonts w:cstheme="minorHAnsi"/>
        </w:rPr>
        <w:t>acquiesced</w:t>
      </w:r>
      <w:r w:rsidR="008B0F06" w:rsidRPr="00352F4C">
        <w:rPr>
          <w:rFonts w:cstheme="minorHAnsi"/>
        </w:rPr>
        <w:t xml:space="preserve"> to torture unless the applicant shows</w:t>
      </w:r>
      <w:r w:rsidRPr="00352F4C">
        <w:rPr>
          <w:rFonts w:cstheme="minorHAnsi"/>
        </w:rPr>
        <w:t xml:space="preserve"> that</w:t>
      </w:r>
      <w:r w:rsidR="008B0F06" w:rsidRPr="00352F4C">
        <w:rPr>
          <w:rFonts w:cstheme="minorHAnsi"/>
        </w:rPr>
        <w:t xml:space="preserve"> </w:t>
      </w:r>
      <w:r w:rsidRPr="00352F4C">
        <w:rPr>
          <w:rFonts w:cstheme="minorHAnsi"/>
        </w:rPr>
        <w:t xml:space="preserve">the public official </w:t>
      </w:r>
      <w:r w:rsidRPr="00845924">
        <w:rPr>
          <w:rFonts w:cstheme="minorHAnsi"/>
        </w:rPr>
        <w:t xml:space="preserve">deliberately </w:t>
      </w:r>
      <w:r w:rsidRPr="00352F4C">
        <w:rPr>
          <w:rFonts w:cstheme="minorHAnsi"/>
        </w:rPr>
        <w:t>avoided learning the truth</w:t>
      </w:r>
      <w:r w:rsidR="00845924">
        <w:rPr>
          <w:rFonts w:cstheme="minorHAnsi"/>
        </w:rPr>
        <w:t xml:space="preserve"> and</w:t>
      </w:r>
      <w:r w:rsidRPr="00352F4C">
        <w:rPr>
          <w:rFonts w:cstheme="minorHAnsi"/>
        </w:rPr>
        <w:t xml:space="preserve"> was “charged with preventing the activity as part of his or her legal duties and have failed to intervene.”  </w:t>
      </w:r>
    </w:p>
    <w:p w14:paraId="7094E0C2" w14:textId="2585870A" w:rsidR="006D650C" w:rsidRPr="00352F4C" w:rsidRDefault="00CB2E16" w:rsidP="0010653C">
      <w:pPr>
        <w:pStyle w:val="BodyText"/>
        <w:rPr>
          <w:rFonts w:cstheme="minorHAnsi"/>
        </w:rPr>
      </w:pPr>
      <w:r w:rsidRPr="00352F4C">
        <w:rPr>
          <w:rFonts w:cstheme="minorHAnsi"/>
        </w:rPr>
        <w:t>These are prejudicial requirements that would require an applicant submit evidence of (1) whether a public official was on the job during the persecution, (2) the public official’s mental state, and (3) the public official’s job description.  Any one of these would be insurmountable</w:t>
      </w:r>
      <w:r w:rsidR="00470197">
        <w:rPr>
          <w:rFonts w:cstheme="minorHAnsi"/>
        </w:rPr>
        <w:t xml:space="preserve"> for a CAT applicant</w:t>
      </w:r>
      <w:r w:rsidRPr="00352F4C">
        <w:rPr>
          <w:rFonts w:cstheme="minorHAnsi"/>
        </w:rPr>
        <w:t>.  But together, they effectively close off CAT relief</w:t>
      </w:r>
      <w:r w:rsidR="00832700" w:rsidRPr="00352F4C">
        <w:rPr>
          <w:rFonts w:cstheme="minorHAnsi"/>
        </w:rPr>
        <w:t xml:space="preserve"> altogether</w:t>
      </w:r>
      <w:r w:rsidRPr="00352F4C">
        <w:rPr>
          <w:rFonts w:cstheme="minorHAnsi"/>
        </w:rPr>
        <w:t>.</w:t>
      </w:r>
      <w:r w:rsidR="00832700" w:rsidRPr="00352F4C">
        <w:rPr>
          <w:rFonts w:cstheme="minorHAnsi"/>
        </w:rPr>
        <w:t xml:space="preserve"> To do so defies the clear intent of Congress when it made CAT available as a form of relief. </w:t>
      </w:r>
      <w:r w:rsidRPr="00352F4C">
        <w:rPr>
          <w:rFonts w:cstheme="minorHAnsi"/>
        </w:rPr>
        <w:t xml:space="preserve"> </w:t>
      </w:r>
    </w:p>
    <w:p w14:paraId="1A7F6DF6" w14:textId="2732AC66" w:rsidR="00845924" w:rsidRPr="00352F4C" w:rsidRDefault="00845924" w:rsidP="00845924">
      <w:pPr>
        <w:pStyle w:val="BodyText"/>
        <w:rPr>
          <w:rFonts w:cstheme="minorHAnsi"/>
        </w:rPr>
      </w:pPr>
      <w:r w:rsidRPr="00845924">
        <w:rPr>
          <w:rFonts w:cstheme="minorHAnsi"/>
          <w:highlight w:val="yellow"/>
        </w:rPr>
        <w:t>[Insert examples or relevant client stories.]</w:t>
      </w:r>
    </w:p>
    <w:p w14:paraId="64AFF081" w14:textId="77777777" w:rsidR="00FC1C7D" w:rsidRPr="00352F4C" w:rsidRDefault="00CB2E16" w:rsidP="001B037B">
      <w:pPr>
        <w:pStyle w:val="Heading2"/>
        <w:rPr>
          <w:rFonts w:cstheme="minorHAnsi"/>
        </w:rPr>
      </w:pPr>
      <w:r w:rsidRPr="00352F4C">
        <w:rPr>
          <w:rFonts w:cstheme="minorHAnsi"/>
        </w:rPr>
        <w:t>Disclosure</w:t>
      </w:r>
    </w:p>
    <w:p w14:paraId="41BD5182" w14:textId="530FD18B" w:rsidR="00FC1C7D" w:rsidRDefault="00CB2E16" w:rsidP="00B10F7F">
      <w:pPr>
        <w:pStyle w:val="BodyText"/>
        <w:rPr>
          <w:rFonts w:cstheme="minorHAnsi"/>
        </w:rPr>
      </w:pPr>
      <w:r w:rsidRPr="00352F4C">
        <w:rPr>
          <w:rFonts w:cstheme="minorHAnsi"/>
        </w:rPr>
        <w:t xml:space="preserve">The Proposed Rule allows for disclosure of information </w:t>
      </w:r>
      <w:r w:rsidR="00B10F7F">
        <w:rPr>
          <w:rFonts w:cstheme="minorHAnsi"/>
        </w:rPr>
        <w:t xml:space="preserve">included in an asylum application </w:t>
      </w:r>
      <w:r w:rsidR="00FC0ABC">
        <w:rPr>
          <w:rFonts w:cstheme="minorHAnsi"/>
        </w:rPr>
        <w:t xml:space="preserve">under </w:t>
      </w:r>
      <w:r w:rsidRPr="00352F4C">
        <w:rPr>
          <w:rFonts w:cstheme="minorHAnsi"/>
        </w:rPr>
        <w:t>circumstance</w:t>
      </w:r>
      <w:r w:rsidR="002B0EA4" w:rsidRPr="00352F4C">
        <w:rPr>
          <w:rFonts w:cstheme="minorHAnsi"/>
        </w:rPr>
        <w:t xml:space="preserve">s that </w:t>
      </w:r>
      <w:r w:rsidR="00546C50">
        <w:rPr>
          <w:rFonts w:cstheme="minorHAnsi"/>
        </w:rPr>
        <w:t>are</w:t>
      </w:r>
      <w:r w:rsidR="002B0EA4" w:rsidRPr="00352F4C">
        <w:rPr>
          <w:rFonts w:cstheme="minorHAnsi"/>
        </w:rPr>
        <w:t xml:space="preserve"> currently protected from disclosure</w:t>
      </w:r>
      <w:r w:rsidRPr="00352F4C">
        <w:rPr>
          <w:rFonts w:cstheme="minorHAnsi"/>
        </w:rPr>
        <w:t xml:space="preserve">.  </w:t>
      </w:r>
      <w:r w:rsidR="00B10F7F" w:rsidRPr="00B10F7F">
        <w:rPr>
          <w:rFonts w:cstheme="minorHAnsi"/>
        </w:rPr>
        <w:t>8 CFR § 208.6; 8 CFR § 1208.6</w:t>
      </w:r>
      <w:r w:rsidR="00B10F7F">
        <w:rPr>
          <w:rFonts w:cstheme="minorHAnsi"/>
        </w:rPr>
        <w:t xml:space="preserve">.  </w:t>
      </w:r>
      <w:r w:rsidR="00FC1C7D" w:rsidRPr="00352F4C">
        <w:rPr>
          <w:rFonts w:cstheme="minorHAnsi"/>
        </w:rPr>
        <w:t>Release of information can put LGBTQ asylum seekers at grave risk of harm.</w:t>
      </w:r>
      <w:r w:rsidRPr="00352F4C">
        <w:rPr>
          <w:rFonts w:cstheme="minorHAnsi"/>
        </w:rPr>
        <w:t xml:space="preserve">  Gender identity, sexual orientation, and HIV status are deeply personal and often difficult to disclose and discuss.  The disclosure provisions </w:t>
      </w:r>
      <w:r w:rsidR="002B0EA4" w:rsidRPr="00352F4C">
        <w:rPr>
          <w:rFonts w:cstheme="minorHAnsi"/>
        </w:rPr>
        <w:t xml:space="preserve">in the Proposed Rule </w:t>
      </w:r>
      <w:r w:rsidRPr="00352F4C">
        <w:rPr>
          <w:rFonts w:cstheme="minorHAnsi"/>
        </w:rPr>
        <w:t xml:space="preserve">will </w:t>
      </w:r>
      <w:r w:rsidR="00B10F7F">
        <w:rPr>
          <w:rFonts w:cstheme="minorHAnsi"/>
        </w:rPr>
        <w:t xml:space="preserve">likely </w:t>
      </w:r>
      <w:r w:rsidRPr="00352F4C">
        <w:rPr>
          <w:rFonts w:cstheme="minorHAnsi"/>
        </w:rPr>
        <w:t xml:space="preserve">chill many </w:t>
      </w:r>
      <w:r w:rsidR="00B10F7F">
        <w:rPr>
          <w:rFonts w:cstheme="minorHAnsi"/>
        </w:rPr>
        <w:t xml:space="preserve">LGBTQ/H </w:t>
      </w:r>
      <w:r w:rsidRPr="00352F4C">
        <w:rPr>
          <w:rFonts w:cstheme="minorHAnsi"/>
        </w:rPr>
        <w:t>asylum seekers from seeking relief they are entitled to.</w:t>
      </w:r>
    </w:p>
    <w:p w14:paraId="68370EEB" w14:textId="77777777" w:rsidR="00B10F7F" w:rsidRPr="00352F4C" w:rsidRDefault="00B10F7F" w:rsidP="00B10F7F">
      <w:pPr>
        <w:pStyle w:val="BodyText"/>
        <w:rPr>
          <w:rFonts w:cstheme="minorHAnsi"/>
        </w:rPr>
      </w:pPr>
      <w:r w:rsidRPr="00845924">
        <w:rPr>
          <w:rFonts w:cstheme="minorHAnsi"/>
          <w:highlight w:val="yellow"/>
        </w:rPr>
        <w:t>[Insert examples or relevant client stories.]</w:t>
      </w:r>
    </w:p>
    <w:p w14:paraId="16ECB987" w14:textId="26B6F117" w:rsidR="00FC1C7D" w:rsidRPr="00352F4C" w:rsidRDefault="00845924" w:rsidP="001B037B">
      <w:pPr>
        <w:pStyle w:val="Heading2"/>
        <w:rPr>
          <w:rFonts w:cstheme="minorHAnsi"/>
        </w:rPr>
      </w:pPr>
      <w:r>
        <w:rPr>
          <w:rFonts w:cstheme="minorHAnsi"/>
        </w:rPr>
        <w:t>It is unclear whether t</w:t>
      </w:r>
      <w:r w:rsidR="00CB2E16" w:rsidRPr="00352F4C">
        <w:rPr>
          <w:rFonts w:cstheme="minorHAnsi"/>
        </w:rPr>
        <w:t xml:space="preserve">he Proposed Rule </w:t>
      </w:r>
      <w:r>
        <w:rPr>
          <w:rFonts w:cstheme="minorHAnsi"/>
        </w:rPr>
        <w:t>would o</w:t>
      </w:r>
      <w:r w:rsidR="00CB2E16" w:rsidRPr="00352F4C">
        <w:rPr>
          <w:rFonts w:cstheme="minorHAnsi"/>
        </w:rPr>
        <w:t xml:space="preserve">perate </w:t>
      </w:r>
      <w:r>
        <w:rPr>
          <w:rFonts w:cstheme="minorHAnsi"/>
        </w:rPr>
        <w:t>r</w:t>
      </w:r>
      <w:r w:rsidR="00CB2E16" w:rsidRPr="00352F4C">
        <w:rPr>
          <w:rFonts w:cstheme="minorHAnsi"/>
        </w:rPr>
        <w:t>etroactively</w:t>
      </w:r>
      <w:r>
        <w:rPr>
          <w:rFonts w:cstheme="minorHAnsi"/>
        </w:rPr>
        <w:t>.</w:t>
      </w:r>
    </w:p>
    <w:p w14:paraId="12962698" w14:textId="7B713A16" w:rsidR="00452D03" w:rsidRPr="00352F4C" w:rsidRDefault="00CB2E16" w:rsidP="0010653C">
      <w:pPr>
        <w:pStyle w:val="BodyText"/>
        <w:rPr>
          <w:rFonts w:cstheme="minorHAnsi"/>
        </w:rPr>
      </w:pPr>
      <w:r w:rsidRPr="00352F4C">
        <w:rPr>
          <w:rFonts w:cstheme="minorHAnsi"/>
        </w:rPr>
        <w:lastRenderedPageBreak/>
        <w:t xml:space="preserve">Finally, </w:t>
      </w:r>
      <w:r w:rsidR="00B10F7F">
        <w:rPr>
          <w:rFonts w:cstheme="minorHAnsi"/>
        </w:rPr>
        <w:t>it is not clear if</w:t>
      </w:r>
      <w:r w:rsidRPr="00352F4C">
        <w:rPr>
          <w:rFonts w:cstheme="minorHAnsi"/>
        </w:rPr>
        <w:t xml:space="preserve"> Proposed Rule </w:t>
      </w:r>
      <w:r w:rsidR="00B10F7F">
        <w:rPr>
          <w:rFonts w:cstheme="minorHAnsi"/>
        </w:rPr>
        <w:t>is intended to operate and apply</w:t>
      </w:r>
      <w:r w:rsidRPr="00352F4C">
        <w:rPr>
          <w:rFonts w:cstheme="minorHAnsi"/>
        </w:rPr>
        <w:t xml:space="preserve"> retroactively. </w:t>
      </w:r>
      <w:r w:rsidR="00EA5A29" w:rsidRPr="00352F4C">
        <w:rPr>
          <w:rFonts w:cstheme="minorHAnsi"/>
        </w:rPr>
        <w:t xml:space="preserve"> </w:t>
      </w:r>
      <w:r w:rsidRPr="00352F4C">
        <w:rPr>
          <w:rFonts w:cstheme="minorHAnsi"/>
        </w:rPr>
        <w:t>The costs and benefits</w:t>
      </w:r>
      <w:r w:rsidR="00832700" w:rsidRPr="00352F4C">
        <w:rPr>
          <w:rStyle w:val="FootnoteReference"/>
          <w:rFonts w:cstheme="minorHAnsi"/>
        </w:rPr>
        <w:footnoteReference w:id="44"/>
      </w:r>
      <w:r w:rsidRPr="00352F4C">
        <w:rPr>
          <w:rFonts w:cstheme="minorHAnsi"/>
        </w:rPr>
        <w:t xml:space="preserve"> section of the Notice refers to an “expected decrease” in asylum grants, but does not say whether the thousands of pending cases are subject to the new rules or merely a benchmark from which to measure the “expected decrease.”  </w:t>
      </w:r>
      <w:r w:rsidR="00043B2F" w:rsidRPr="00352F4C">
        <w:rPr>
          <w:rFonts w:cstheme="minorHAnsi"/>
        </w:rPr>
        <w:t>Notice at 92-93.</w:t>
      </w:r>
      <w:r w:rsidR="00832700" w:rsidRPr="00352F4C">
        <w:rPr>
          <w:rFonts w:cstheme="minorHAnsi"/>
        </w:rPr>
        <w:t xml:space="preserve"> </w:t>
      </w:r>
      <w:r w:rsidR="00043B2F" w:rsidRPr="00352F4C">
        <w:rPr>
          <w:rFonts w:cstheme="minorHAnsi"/>
        </w:rPr>
        <w:t xml:space="preserve">  </w:t>
      </w:r>
      <w:r w:rsidRPr="00352F4C">
        <w:rPr>
          <w:rFonts w:cstheme="minorHAnsi"/>
        </w:rPr>
        <w:t xml:space="preserve">Likewise, only the frivolousness provisions become active after the Proposed Rule’s effective date, but the Notice does not expressly state </w:t>
      </w:r>
      <w:r w:rsidR="00B10F7F">
        <w:rPr>
          <w:rFonts w:cstheme="minorHAnsi"/>
        </w:rPr>
        <w:t>if</w:t>
      </w:r>
      <w:r w:rsidRPr="00352F4C">
        <w:rPr>
          <w:rFonts w:cstheme="minorHAnsi"/>
        </w:rPr>
        <w:t xml:space="preserve"> the remainder of the Proposed Rule</w:t>
      </w:r>
      <w:r w:rsidR="00043B2F" w:rsidRPr="00352F4C">
        <w:rPr>
          <w:rFonts w:cstheme="minorHAnsi"/>
        </w:rPr>
        <w:t xml:space="preserve"> applies to all pending cases.</w:t>
      </w:r>
    </w:p>
    <w:p w14:paraId="255351B0" w14:textId="74683E53" w:rsidR="00043B2F" w:rsidRDefault="00CB2E16" w:rsidP="0010653C">
      <w:pPr>
        <w:pStyle w:val="BodyText"/>
        <w:rPr>
          <w:rFonts w:cstheme="minorHAnsi"/>
        </w:rPr>
      </w:pPr>
      <w:r w:rsidRPr="00352F4C">
        <w:rPr>
          <w:rFonts w:cstheme="minorHAnsi"/>
        </w:rPr>
        <w:t xml:space="preserve">Either way, retroactive effect would be </w:t>
      </w:r>
      <w:r w:rsidR="00B10F7F">
        <w:rPr>
          <w:rFonts w:cstheme="minorHAnsi"/>
        </w:rPr>
        <w:t xml:space="preserve">unlawful and </w:t>
      </w:r>
      <w:r w:rsidRPr="00352F4C">
        <w:rPr>
          <w:rFonts w:cstheme="minorHAnsi"/>
        </w:rPr>
        <w:t xml:space="preserve">a </w:t>
      </w:r>
      <w:r w:rsidR="00450FA1">
        <w:rPr>
          <w:rFonts w:cstheme="minorHAnsi"/>
        </w:rPr>
        <w:t xml:space="preserve">grave </w:t>
      </w:r>
      <w:r w:rsidRPr="00352F4C">
        <w:rPr>
          <w:rFonts w:cstheme="minorHAnsi"/>
        </w:rPr>
        <w:t>mistake.  The hundreds of thousands of asylum applications</w:t>
      </w:r>
      <w:r w:rsidR="0075559E" w:rsidRPr="00352F4C">
        <w:rPr>
          <w:rFonts w:cstheme="minorHAnsi"/>
        </w:rPr>
        <w:t xml:space="preserve"> </w:t>
      </w:r>
      <w:r w:rsidRPr="00352F4C">
        <w:rPr>
          <w:rFonts w:cstheme="minorHAnsi"/>
        </w:rPr>
        <w:t xml:space="preserve">implicate a reliance interest in the state of the law as it stands.  This reliance interest is further prejudiced by the 30-day comment period allotted by the </w:t>
      </w:r>
      <w:r w:rsidR="00450FA1">
        <w:rPr>
          <w:rFonts w:cstheme="minorHAnsi"/>
        </w:rPr>
        <w:t>Agencies</w:t>
      </w:r>
      <w:r w:rsidRPr="00352F4C">
        <w:rPr>
          <w:rFonts w:cstheme="minorHAnsi"/>
        </w:rPr>
        <w:t xml:space="preserve">, such that in one swoop, previously eligible applicants may find themselves ineligible without any warning.  </w:t>
      </w:r>
      <w:r w:rsidR="0075559E" w:rsidRPr="00352F4C">
        <w:rPr>
          <w:rFonts w:cstheme="minorHAnsi"/>
        </w:rPr>
        <w:t xml:space="preserve">Given the sweeping scope of the Proposed Rule, and the short timeframe, we urge the </w:t>
      </w:r>
      <w:r w:rsidR="00450FA1">
        <w:rPr>
          <w:rFonts w:cstheme="minorHAnsi"/>
        </w:rPr>
        <w:t>Agencies</w:t>
      </w:r>
      <w:r w:rsidR="0075559E" w:rsidRPr="00352F4C">
        <w:rPr>
          <w:rFonts w:cstheme="minorHAnsi"/>
        </w:rPr>
        <w:t xml:space="preserve"> against retroactive application.</w:t>
      </w:r>
    </w:p>
    <w:p w14:paraId="087196D2" w14:textId="77777777" w:rsidR="00FC1C7D" w:rsidRPr="00352F4C" w:rsidRDefault="00CB2E16" w:rsidP="0010653C">
      <w:pPr>
        <w:pStyle w:val="Heading1"/>
        <w:rPr>
          <w:rFonts w:cstheme="minorHAnsi"/>
        </w:rPr>
      </w:pPr>
      <w:r w:rsidRPr="00352F4C">
        <w:rPr>
          <w:rFonts w:cstheme="minorHAnsi"/>
        </w:rPr>
        <w:t>Conclusion</w:t>
      </w:r>
    </w:p>
    <w:p w14:paraId="08B3AD84" w14:textId="663ABC17" w:rsidR="008379C1" w:rsidRPr="00352F4C" w:rsidRDefault="00CB2E16" w:rsidP="008379C1">
      <w:pPr>
        <w:pStyle w:val="BodyText"/>
        <w:rPr>
          <w:rFonts w:cstheme="minorHAnsi"/>
        </w:rPr>
      </w:pPr>
      <w:r w:rsidRPr="00352F4C">
        <w:rPr>
          <w:rFonts w:cstheme="minorHAnsi"/>
        </w:rPr>
        <w:t xml:space="preserve">For these reasons, </w:t>
      </w:r>
      <w:r w:rsidR="00845924">
        <w:rPr>
          <w:rFonts w:cstheme="minorHAnsi"/>
        </w:rPr>
        <w:t>the Agencies</w:t>
      </w:r>
      <w:r w:rsidRPr="00352F4C">
        <w:rPr>
          <w:rFonts w:cstheme="minorHAnsi"/>
        </w:rPr>
        <w:t xml:space="preserve"> should immediately withdraw </w:t>
      </w:r>
      <w:r w:rsidR="00845924">
        <w:rPr>
          <w:rFonts w:cstheme="minorHAnsi"/>
        </w:rPr>
        <w:t>the Proposed Rule</w:t>
      </w:r>
      <w:r w:rsidRPr="00352F4C">
        <w:rPr>
          <w:rFonts w:cstheme="minorHAnsi"/>
        </w:rPr>
        <w:t xml:space="preserve">.  </w:t>
      </w:r>
    </w:p>
    <w:p w14:paraId="70144F68" w14:textId="118A96AF" w:rsidR="008379C1" w:rsidRPr="00352F4C" w:rsidRDefault="00CB2E16" w:rsidP="008379C1">
      <w:pPr>
        <w:pStyle w:val="BodyText"/>
        <w:rPr>
          <w:rFonts w:cstheme="minorHAnsi"/>
        </w:rPr>
      </w:pPr>
      <w:r w:rsidRPr="00352F4C">
        <w:rPr>
          <w:rFonts w:cstheme="minorHAnsi"/>
        </w:rPr>
        <w:t xml:space="preserve">Thank you for the opportunity to submit comments on the Proposed Rule.  Please do not hesitate to contact </w:t>
      </w:r>
      <w:r w:rsidR="007B7458">
        <w:rPr>
          <w:rFonts w:cstheme="minorHAnsi"/>
        </w:rPr>
        <w:t>[</w:t>
      </w:r>
      <w:r w:rsidR="007B7458" w:rsidRPr="007B7458">
        <w:rPr>
          <w:rFonts w:cstheme="minorHAnsi"/>
          <w:highlight w:val="yellow"/>
        </w:rPr>
        <w:t xml:space="preserve">insert </w:t>
      </w:r>
      <w:r w:rsidR="00546C0A" w:rsidRPr="007B7458">
        <w:rPr>
          <w:rFonts w:cstheme="minorHAnsi"/>
          <w:highlight w:val="yellow"/>
        </w:rPr>
        <w:t>contact</w:t>
      </w:r>
      <w:r w:rsidR="007B7458">
        <w:rPr>
          <w:rFonts w:cstheme="minorHAnsi"/>
          <w:highlight w:val="yellow"/>
        </w:rPr>
        <w:t>]</w:t>
      </w:r>
      <w:r w:rsidRPr="00352F4C">
        <w:rPr>
          <w:rFonts w:cstheme="minorHAnsi"/>
        </w:rPr>
        <w:t xml:space="preserve"> at </w:t>
      </w:r>
      <w:r w:rsidR="007B7458">
        <w:rPr>
          <w:rFonts w:cstheme="minorHAnsi"/>
        </w:rPr>
        <w:t>[</w:t>
      </w:r>
      <w:r w:rsidR="007B7458" w:rsidRPr="007B7458">
        <w:rPr>
          <w:rFonts w:cstheme="minorHAnsi"/>
          <w:highlight w:val="yellow"/>
        </w:rPr>
        <w:t>insert</w:t>
      </w:r>
      <w:r w:rsidR="007B7458">
        <w:rPr>
          <w:rFonts w:cstheme="minorHAnsi"/>
        </w:rPr>
        <w:t xml:space="preserve"> </w:t>
      </w:r>
      <w:r w:rsidR="00546C0A" w:rsidRPr="00352F4C">
        <w:rPr>
          <w:rFonts w:cstheme="minorHAnsi"/>
          <w:highlight w:val="yellow"/>
        </w:rPr>
        <w:t>email</w:t>
      </w:r>
      <w:r w:rsidR="007B7458">
        <w:rPr>
          <w:rFonts w:cstheme="minorHAnsi"/>
          <w:highlight w:val="yellow"/>
        </w:rPr>
        <w:t>]</w:t>
      </w:r>
      <w:r w:rsidR="00546C0A" w:rsidRPr="00352F4C">
        <w:rPr>
          <w:rFonts w:cstheme="minorHAnsi"/>
        </w:rPr>
        <w:t xml:space="preserve"> </w:t>
      </w:r>
      <w:r w:rsidRPr="00352F4C">
        <w:rPr>
          <w:rFonts w:cstheme="minorHAnsi"/>
        </w:rPr>
        <w:t>to obtain further information.</w:t>
      </w:r>
    </w:p>
    <w:p w14:paraId="56373A4C" w14:textId="77777777" w:rsidR="008379C1" w:rsidRPr="00352F4C" w:rsidRDefault="008379C1" w:rsidP="008379C1">
      <w:pPr>
        <w:pStyle w:val="BodyText"/>
        <w:rPr>
          <w:rFonts w:cstheme="minorHAnsi"/>
        </w:rPr>
      </w:pPr>
    </w:p>
    <w:p w14:paraId="1FC456A5" w14:textId="77777777" w:rsidR="008379C1" w:rsidRPr="00352F4C" w:rsidRDefault="00CB2E16" w:rsidP="008379C1">
      <w:pPr>
        <w:pStyle w:val="BodyText"/>
        <w:rPr>
          <w:rFonts w:cstheme="minorHAnsi"/>
        </w:rPr>
      </w:pPr>
      <w:r w:rsidRPr="00352F4C">
        <w:rPr>
          <w:rFonts w:cstheme="minorHAnsi"/>
        </w:rPr>
        <w:t>Sincerely,</w:t>
      </w:r>
    </w:p>
    <w:p w14:paraId="4A3CB409" w14:textId="77777777" w:rsidR="008379C1" w:rsidRPr="00352F4C" w:rsidRDefault="00CB2E16" w:rsidP="008379C1">
      <w:pPr>
        <w:pStyle w:val="BodyText"/>
        <w:rPr>
          <w:rFonts w:cstheme="minorHAnsi"/>
          <w:b/>
        </w:rPr>
      </w:pPr>
      <w:r w:rsidRPr="00352F4C">
        <w:rPr>
          <w:rFonts w:cstheme="minorHAnsi"/>
          <w:highlight w:val="yellow"/>
        </w:rPr>
        <w:t>[</w:t>
      </w:r>
      <w:r w:rsidRPr="00352F4C">
        <w:rPr>
          <w:rFonts w:cstheme="minorHAnsi"/>
          <w:b/>
          <w:highlight w:val="yellow"/>
        </w:rPr>
        <w:t>add signature block]</w:t>
      </w:r>
    </w:p>
    <w:p w14:paraId="15D38AAC" w14:textId="77777777" w:rsidR="00FF3689" w:rsidRPr="00352F4C" w:rsidRDefault="00FF3689" w:rsidP="0010653C">
      <w:pPr>
        <w:pStyle w:val="BodyText"/>
        <w:rPr>
          <w:rFonts w:cstheme="minorHAnsi"/>
          <w:u w:val="single"/>
        </w:rPr>
      </w:pPr>
    </w:p>
    <w:sectPr w:rsidR="00FF3689" w:rsidRPr="00352F4C" w:rsidSect="00352F4C">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1FEB6" w14:textId="77777777" w:rsidR="00F74CF3" w:rsidRDefault="00F74CF3">
      <w:r>
        <w:separator/>
      </w:r>
    </w:p>
  </w:endnote>
  <w:endnote w:type="continuationSeparator" w:id="0">
    <w:p w14:paraId="157D2642" w14:textId="77777777" w:rsidR="00F74CF3" w:rsidRDefault="00F7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2C92" w14:textId="77777777" w:rsidR="008736E0" w:rsidRDefault="008736E0" w:rsidP="0010653C">
    <w:pPr>
      <w:pStyle w:val="Footer"/>
    </w:pPr>
    <w:r>
      <w:t xml:space="preserve"> </w:t>
    </w:r>
    <w:r>
      <w:ptab w:relativeTo="margin" w:alignment="center" w:leader="none"/>
    </w:r>
    <w:r>
      <w:fldChar w:fldCharType="begin"/>
    </w:r>
    <w:r>
      <w:instrText xml:space="preserve"> PAGE †* Arabic  \* MERGEFORMAT </w:instrText>
    </w:r>
    <w:r>
      <w:fldChar w:fldCharType="separate"/>
    </w:r>
    <w:r>
      <w:rPr>
        <w:noProof/>
      </w:rPr>
      <w:t>26</w:t>
    </w:r>
    <w:r>
      <w:fldChar w:fldCharType="end"/>
    </w:r>
  </w:p>
  <w:p w14:paraId="56AFB514" w14:textId="6D57A916" w:rsidR="008736E0" w:rsidRPr="0010653C" w:rsidRDefault="00E6288C" w:rsidP="0048174B">
    <w:pPr>
      <w:pStyle w:val="DocID"/>
    </w:pPr>
    <w:r>
      <w:fldChar w:fldCharType="begin"/>
    </w:r>
    <w:r>
      <w:instrText xml:space="preserve"> DOCPROPERTY "Cus_DocIDValue"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C42A" w14:textId="77777777" w:rsidR="00F74CF3" w:rsidRDefault="00F74CF3" w:rsidP="006C0A5B">
      <w:r>
        <w:separator/>
      </w:r>
    </w:p>
  </w:footnote>
  <w:footnote w:type="continuationSeparator" w:id="0">
    <w:p w14:paraId="0027A8A9" w14:textId="77777777" w:rsidR="00F74CF3" w:rsidRDefault="00F74CF3" w:rsidP="006C0A5B">
      <w:r>
        <w:continuationSeparator/>
      </w:r>
    </w:p>
  </w:footnote>
  <w:footnote w:id="1">
    <w:p w14:paraId="1FD166B6" w14:textId="77777777" w:rsidR="008736E0" w:rsidRDefault="008736E0" w:rsidP="001D7283">
      <w:pPr>
        <w:rPr>
          <w:rFonts w:ascii="Times New Roman" w:eastAsia="Times New Roman" w:hAnsi="Times New Roman"/>
          <w:sz w:val="20"/>
          <w:szCs w:val="20"/>
        </w:rPr>
      </w:pPr>
      <w:r>
        <w:rPr>
          <w:rStyle w:val="FootnoteReference"/>
        </w:rPr>
        <w:footnoteRef/>
      </w:r>
      <w:r>
        <w:t xml:space="preserve"> </w:t>
      </w:r>
      <w:r>
        <w:tab/>
      </w:r>
      <w:r>
        <w:rPr>
          <w:rFonts w:ascii="Times New Roman" w:eastAsia="Times New Roman" w:hAnsi="Times New Roman"/>
          <w:sz w:val="20"/>
          <w:szCs w:val="20"/>
        </w:rPr>
        <w:t>Commenters should be guided by the following administrative law principles:</w:t>
      </w:r>
    </w:p>
    <w:p w14:paraId="3F5E14C8" w14:textId="77777777" w:rsidR="008736E0" w:rsidRDefault="008736E0" w:rsidP="001D7283">
      <w:pPr>
        <w:numPr>
          <w:ilvl w:val="0"/>
          <w:numId w:val="17"/>
        </w:numPr>
        <w:rPr>
          <w:rFonts w:ascii="Times New Roman" w:eastAsia="Times New Roman" w:hAnsi="Times New Roman"/>
          <w:sz w:val="20"/>
          <w:szCs w:val="20"/>
        </w:rPr>
      </w:pPr>
      <w:r>
        <w:rPr>
          <w:rFonts w:ascii="Times New Roman" w:eastAsia="Times New Roman" w:hAnsi="Times New Roman"/>
          <w:sz w:val="20"/>
          <w:szCs w:val="20"/>
        </w:rPr>
        <w:t xml:space="preserve">Commenters bear the burden of showing that any comment reflects a material issue that should be considered.  </w:t>
      </w:r>
      <w:r>
        <w:rPr>
          <w:rFonts w:ascii="Times New Roman" w:eastAsia="Times New Roman" w:hAnsi="Times New Roman"/>
          <w:i/>
          <w:sz w:val="20"/>
          <w:szCs w:val="20"/>
        </w:rPr>
        <w:t>See</w:t>
      </w:r>
      <w:r>
        <w:rPr>
          <w:rFonts w:ascii="Times New Roman" w:eastAsia="Times New Roman" w:hAnsi="Times New Roman"/>
          <w:sz w:val="20"/>
          <w:szCs w:val="20"/>
        </w:rPr>
        <w:t xml:space="preserve">, </w:t>
      </w:r>
      <w:r>
        <w:rPr>
          <w:rFonts w:ascii="Times New Roman" w:eastAsia="Times New Roman" w:hAnsi="Times New Roman"/>
          <w:i/>
          <w:sz w:val="20"/>
          <w:szCs w:val="20"/>
        </w:rPr>
        <w:t>e.g.</w:t>
      </w:r>
      <w:r>
        <w:rPr>
          <w:rFonts w:ascii="Times New Roman" w:eastAsia="Times New Roman" w:hAnsi="Times New Roman"/>
          <w:sz w:val="20"/>
          <w:szCs w:val="20"/>
        </w:rPr>
        <w:t xml:space="preserve">, </w:t>
      </w:r>
      <w:r>
        <w:rPr>
          <w:rFonts w:ascii="Times New Roman" w:eastAsia="Times New Roman" w:hAnsi="Times New Roman"/>
          <w:i/>
          <w:sz w:val="20"/>
          <w:szCs w:val="20"/>
        </w:rPr>
        <w:t>Vermont Yankee Nuclear Power Corp. v. Natural Resources Defense Council, Inc</w:t>
      </w:r>
      <w:r>
        <w:rPr>
          <w:rFonts w:ascii="Times New Roman" w:eastAsia="Times New Roman" w:hAnsi="Times New Roman"/>
          <w:sz w:val="20"/>
          <w:szCs w:val="20"/>
        </w:rPr>
        <w:t xml:space="preserve">., 435 U.S. 519, 553–54 (1978); </w:t>
      </w:r>
      <w:r>
        <w:rPr>
          <w:rFonts w:ascii="Times New Roman" w:eastAsia="Times New Roman" w:hAnsi="Times New Roman"/>
          <w:i/>
          <w:sz w:val="20"/>
          <w:szCs w:val="20"/>
        </w:rPr>
        <w:t xml:space="preserve">see also </w:t>
      </w:r>
      <w:r>
        <w:rPr>
          <w:rFonts w:ascii="Times New Roman" w:eastAsia="Times New Roman" w:hAnsi="Times New Roman"/>
          <w:i/>
          <w:sz w:val="20"/>
          <w:szCs w:val="20"/>
          <w:highlight w:val="white"/>
        </w:rPr>
        <w:t>Thompson v. Clark</w:t>
      </w:r>
      <w:r>
        <w:rPr>
          <w:rFonts w:ascii="Times New Roman" w:eastAsia="Times New Roman" w:hAnsi="Times New Roman"/>
          <w:sz w:val="20"/>
          <w:szCs w:val="20"/>
          <w:highlight w:val="white"/>
        </w:rPr>
        <w:t xml:space="preserve">, 741 F.2d 401, 408-09 (D.C. Cir. 1984) (quoting </w:t>
      </w:r>
      <w:r>
        <w:rPr>
          <w:rFonts w:ascii="Times New Roman" w:eastAsia="Times New Roman" w:hAnsi="Times New Roman"/>
          <w:i/>
          <w:sz w:val="20"/>
          <w:szCs w:val="20"/>
          <w:highlight w:val="white"/>
        </w:rPr>
        <w:t>Citizens to Preserve Overton Park v. Volpe</w:t>
      </w:r>
      <w:r>
        <w:rPr>
          <w:rFonts w:ascii="Times New Roman" w:eastAsia="Times New Roman" w:hAnsi="Times New Roman"/>
          <w:sz w:val="20"/>
          <w:szCs w:val="20"/>
          <w:highlight w:val="white"/>
        </w:rPr>
        <w:t xml:space="preserve">, 401 U.S. 402, 416 (1971)); </w:t>
      </w:r>
      <w:r>
        <w:rPr>
          <w:rFonts w:ascii="Times New Roman" w:eastAsia="Times New Roman" w:hAnsi="Times New Roman"/>
          <w:i/>
          <w:sz w:val="20"/>
          <w:szCs w:val="20"/>
          <w:highlight w:val="white"/>
        </w:rPr>
        <w:t>accord Petaluma FX Partners</w:t>
      </w:r>
      <w:r>
        <w:rPr>
          <w:rFonts w:ascii="Times New Roman" w:eastAsia="Times New Roman" w:hAnsi="Times New Roman"/>
          <w:sz w:val="20"/>
          <w:szCs w:val="20"/>
          <w:highlight w:val="white"/>
        </w:rPr>
        <w:t xml:space="preserve">, </w:t>
      </w:r>
      <w:r>
        <w:rPr>
          <w:rFonts w:ascii="Times New Roman" w:eastAsia="Times New Roman" w:hAnsi="Times New Roman"/>
          <w:i/>
          <w:sz w:val="20"/>
          <w:szCs w:val="20"/>
          <w:highlight w:val="white"/>
        </w:rPr>
        <w:t>LLC v. C.I.R.</w:t>
      </w:r>
      <w:r>
        <w:rPr>
          <w:rFonts w:ascii="Times New Roman" w:eastAsia="Times New Roman" w:hAnsi="Times New Roman"/>
          <w:sz w:val="20"/>
          <w:szCs w:val="20"/>
          <w:highlight w:val="white"/>
        </w:rPr>
        <w:t>, 792 F.3d 72, 81 (D.C. Cir. 2015).</w:t>
      </w:r>
    </w:p>
    <w:p w14:paraId="17500D22" w14:textId="77777777" w:rsidR="008736E0" w:rsidRDefault="008736E0" w:rsidP="001D7283">
      <w:pPr>
        <w:numPr>
          <w:ilvl w:val="0"/>
          <w:numId w:val="17"/>
        </w:numPr>
        <w:rPr>
          <w:rFonts w:ascii="Times New Roman" w:eastAsia="Times New Roman" w:hAnsi="Times New Roman"/>
          <w:sz w:val="20"/>
          <w:szCs w:val="20"/>
        </w:rPr>
      </w:pPr>
      <w:r w:rsidRPr="001D7283">
        <w:rPr>
          <w:rFonts w:ascii="Times New Roman" w:eastAsia="Times New Roman" w:hAnsi="Times New Roman"/>
          <w:sz w:val="20"/>
          <w:szCs w:val="20"/>
        </w:rPr>
        <w:t xml:space="preserve">For purposes of preserving an issue for litigation, comments must be specific enough to provide the agency with meaningful notice of the issue. </w:t>
      </w:r>
      <w:r>
        <w:rPr>
          <w:rFonts w:ascii="Times New Roman" w:eastAsia="Times New Roman" w:hAnsi="Times New Roman"/>
          <w:sz w:val="20"/>
          <w:szCs w:val="20"/>
        </w:rPr>
        <w:t xml:space="preserve"> </w:t>
      </w:r>
      <w:r w:rsidRPr="001D7283">
        <w:rPr>
          <w:rFonts w:ascii="Times New Roman" w:eastAsia="Times New Roman" w:hAnsi="Times New Roman"/>
          <w:i/>
          <w:sz w:val="20"/>
          <w:szCs w:val="20"/>
        </w:rPr>
        <w:t>U.S. Dep't of Transp. v. Public Citizen,</w:t>
      </w:r>
      <w:r w:rsidRPr="001D7283">
        <w:rPr>
          <w:rFonts w:ascii="Times New Roman" w:eastAsia="Times New Roman" w:hAnsi="Times New Roman"/>
          <w:sz w:val="20"/>
          <w:szCs w:val="20"/>
        </w:rPr>
        <w:t xml:space="preserve"> 541 U.S. 752, 764 (2004) (quoting </w:t>
      </w:r>
      <w:r w:rsidRPr="001D7283">
        <w:rPr>
          <w:rFonts w:ascii="Times New Roman" w:eastAsia="Times New Roman" w:hAnsi="Times New Roman"/>
          <w:i/>
          <w:sz w:val="20"/>
          <w:szCs w:val="20"/>
        </w:rPr>
        <w:t>Vermont Yankee</w:t>
      </w:r>
      <w:r w:rsidRPr="001D7283">
        <w:rPr>
          <w:rFonts w:ascii="Times New Roman" w:eastAsia="Times New Roman" w:hAnsi="Times New Roman"/>
          <w:sz w:val="20"/>
          <w:szCs w:val="20"/>
        </w:rPr>
        <w:t>,</w:t>
      </w:r>
      <w:r w:rsidRPr="001D7283">
        <w:rPr>
          <w:rFonts w:ascii="Times New Roman" w:eastAsia="Times New Roman" w:hAnsi="Times New Roman"/>
          <w:i/>
          <w:sz w:val="20"/>
          <w:szCs w:val="20"/>
        </w:rPr>
        <w:t xml:space="preserve"> </w:t>
      </w:r>
      <w:r w:rsidRPr="001D7283">
        <w:rPr>
          <w:rFonts w:ascii="Times New Roman" w:eastAsia="Times New Roman" w:hAnsi="Times New Roman"/>
          <w:sz w:val="20"/>
          <w:szCs w:val="20"/>
        </w:rPr>
        <w:t xml:space="preserve">435 U.S. 519, 553 (1978)); </w:t>
      </w:r>
      <w:r w:rsidRPr="001D7283">
        <w:rPr>
          <w:rFonts w:ascii="Times New Roman" w:eastAsia="Times New Roman" w:hAnsi="Times New Roman"/>
          <w:i/>
          <w:sz w:val="20"/>
          <w:szCs w:val="20"/>
          <w:highlight w:val="white"/>
        </w:rPr>
        <w:t>see generally Post-Acute Medical at Hammond</w:t>
      </w:r>
      <w:r w:rsidRPr="001D7283">
        <w:rPr>
          <w:rFonts w:ascii="Times New Roman" w:eastAsia="Times New Roman" w:hAnsi="Times New Roman"/>
          <w:sz w:val="20"/>
          <w:szCs w:val="20"/>
          <w:highlight w:val="white"/>
        </w:rPr>
        <w:t>,</w:t>
      </w:r>
      <w:r w:rsidRPr="001D7283">
        <w:rPr>
          <w:rFonts w:ascii="Times New Roman" w:eastAsia="Times New Roman" w:hAnsi="Times New Roman"/>
          <w:i/>
          <w:sz w:val="20"/>
          <w:szCs w:val="20"/>
          <w:highlight w:val="white"/>
        </w:rPr>
        <w:t xml:space="preserve"> LLC v. Azar</w:t>
      </w:r>
      <w:r w:rsidRPr="001D7283">
        <w:rPr>
          <w:rFonts w:ascii="Times New Roman" w:eastAsia="Times New Roman" w:hAnsi="Times New Roman"/>
          <w:sz w:val="20"/>
          <w:szCs w:val="20"/>
          <w:highlight w:val="white"/>
        </w:rPr>
        <w:t>, 311 F.</w:t>
      </w:r>
      <w:r>
        <w:rPr>
          <w:rFonts w:ascii="Times New Roman" w:eastAsia="Times New Roman" w:hAnsi="Times New Roman"/>
          <w:sz w:val="20"/>
          <w:szCs w:val="20"/>
          <w:highlight w:val="white"/>
        </w:rPr>
        <w:t xml:space="preserve"> </w:t>
      </w:r>
      <w:r w:rsidRPr="001D7283">
        <w:rPr>
          <w:rFonts w:ascii="Times New Roman" w:eastAsia="Times New Roman" w:hAnsi="Times New Roman"/>
          <w:sz w:val="20"/>
          <w:szCs w:val="20"/>
          <w:highlight w:val="white"/>
        </w:rPr>
        <w:t>Supp.</w:t>
      </w:r>
      <w:r>
        <w:rPr>
          <w:rFonts w:ascii="Times New Roman" w:eastAsia="Times New Roman" w:hAnsi="Times New Roman"/>
          <w:sz w:val="20"/>
          <w:szCs w:val="20"/>
          <w:highlight w:val="white"/>
        </w:rPr>
        <w:t xml:space="preserve"> </w:t>
      </w:r>
      <w:r w:rsidRPr="001D7283">
        <w:rPr>
          <w:rFonts w:ascii="Times New Roman" w:eastAsia="Times New Roman" w:hAnsi="Times New Roman"/>
          <w:sz w:val="20"/>
          <w:szCs w:val="20"/>
          <w:highlight w:val="white"/>
        </w:rPr>
        <w:t>3d 176, 185 (D.D.C. 2018).</w:t>
      </w:r>
    </w:p>
    <w:p w14:paraId="751487F9" w14:textId="77777777" w:rsidR="008736E0" w:rsidRPr="001D7283" w:rsidRDefault="008736E0" w:rsidP="001D7283">
      <w:pPr>
        <w:numPr>
          <w:ilvl w:val="0"/>
          <w:numId w:val="17"/>
        </w:numPr>
        <w:rPr>
          <w:rFonts w:ascii="Times New Roman" w:eastAsia="Times New Roman" w:hAnsi="Times New Roman"/>
          <w:sz w:val="20"/>
          <w:szCs w:val="20"/>
        </w:rPr>
      </w:pPr>
      <w:r w:rsidRPr="001D7283">
        <w:rPr>
          <w:rFonts w:ascii="Times New Roman" w:eastAsia="Times New Roman" w:hAnsi="Times New Roman"/>
          <w:sz w:val="20"/>
          <w:szCs w:val="20"/>
        </w:rPr>
        <w:t xml:space="preserve">To preserve an issue for litigation, the issue need only be adequately raised by one commenter. </w:t>
      </w:r>
      <w:r>
        <w:rPr>
          <w:rFonts w:ascii="Times New Roman" w:eastAsia="Times New Roman" w:hAnsi="Times New Roman"/>
          <w:sz w:val="20"/>
          <w:szCs w:val="20"/>
        </w:rPr>
        <w:t xml:space="preserve"> </w:t>
      </w:r>
      <w:r w:rsidRPr="001D7283">
        <w:rPr>
          <w:rFonts w:ascii="Times New Roman" w:eastAsia="Times New Roman" w:hAnsi="Times New Roman"/>
          <w:sz w:val="20"/>
          <w:szCs w:val="20"/>
        </w:rPr>
        <w:t xml:space="preserve">If an organization decides to bring a legal challenge on a particular issue, it need not have raised that issue itself, so long as some other organization discussed the issue in their comments. </w:t>
      </w:r>
      <w:r>
        <w:rPr>
          <w:rFonts w:ascii="Times New Roman" w:eastAsia="Times New Roman" w:hAnsi="Times New Roman"/>
          <w:sz w:val="20"/>
          <w:szCs w:val="20"/>
        </w:rPr>
        <w:t xml:space="preserve"> </w:t>
      </w:r>
      <w:r w:rsidRPr="001D7283">
        <w:rPr>
          <w:rFonts w:ascii="Times New Roman" w:eastAsia="Times New Roman" w:hAnsi="Times New Roman"/>
          <w:i/>
          <w:sz w:val="20"/>
          <w:szCs w:val="20"/>
        </w:rPr>
        <w:t>See Natural Res. Def. Council, Inc. v. EPA,</w:t>
      </w:r>
      <w:r w:rsidRPr="001D7283">
        <w:rPr>
          <w:rFonts w:ascii="Times New Roman" w:eastAsia="Times New Roman" w:hAnsi="Times New Roman"/>
          <w:sz w:val="20"/>
          <w:szCs w:val="20"/>
        </w:rPr>
        <w:t xml:space="preserve"> 824 F.2d 1146, 1151 (D.C.</w:t>
      </w:r>
      <w:r>
        <w:rPr>
          <w:rFonts w:ascii="Times New Roman" w:eastAsia="Times New Roman" w:hAnsi="Times New Roman"/>
          <w:sz w:val="20"/>
          <w:szCs w:val="20"/>
        </w:rPr>
        <w:t xml:space="preserve"> </w:t>
      </w:r>
      <w:r w:rsidRPr="001D7283">
        <w:rPr>
          <w:rFonts w:ascii="Times New Roman" w:eastAsia="Times New Roman" w:hAnsi="Times New Roman"/>
          <w:sz w:val="20"/>
          <w:szCs w:val="20"/>
        </w:rPr>
        <w:t>Cir.</w:t>
      </w:r>
      <w:r>
        <w:rPr>
          <w:rFonts w:ascii="Times New Roman" w:eastAsia="Times New Roman" w:hAnsi="Times New Roman"/>
          <w:sz w:val="20"/>
          <w:szCs w:val="20"/>
        </w:rPr>
        <w:t xml:space="preserve"> </w:t>
      </w:r>
      <w:r w:rsidRPr="001D7283">
        <w:rPr>
          <w:rFonts w:ascii="Times New Roman" w:eastAsia="Times New Roman" w:hAnsi="Times New Roman"/>
          <w:sz w:val="20"/>
          <w:szCs w:val="20"/>
        </w:rPr>
        <w:t xml:space="preserve">1987); </w:t>
      </w:r>
      <w:r w:rsidRPr="001D7283">
        <w:rPr>
          <w:rFonts w:ascii="Times New Roman" w:eastAsia="Times New Roman" w:hAnsi="Times New Roman"/>
          <w:i/>
          <w:sz w:val="20"/>
          <w:szCs w:val="20"/>
        </w:rPr>
        <w:t xml:space="preserve">Central New York Fair Business </w:t>
      </w:r>
      <w:proofErr w:type="spellStart"/>
      <w:r w:rsidRPr="001D7283">
        <w:rPr>
          <w:rFonts w:ascii="Times New Roman" w:eastAsia="Times New Roman" w:hAnsi="Times New Roman"/>
          <w:i/>
          <w:sz w:val="20"/>
          <w:szCs w:val="20"/>
        </w:rPr>
        <w:t>Ass'n</w:t>
      </w:r>
      <w:proofErr w:type="spellEnd"/>
      <w:r w:rsidRPr="001D7283">
        <w:rPr>
          <w:rFonts w:ascii="Times New Roman" w:eastAsia="Times New Roman" w:hAnsi="Times New Roman"/>
          <w:i/>
          <w:sz w:val="20"/>
          <w:szCs w:val="20"/>
        </w:rPr>
        <w:t>. v. Jewell</w:t>
      </w:r>
      <w:r w:rsidRPr="001D7283">
        <w:rPr>
          <w:rFonts w:ascii="Times New Roman" w:eastAsia="Times New Roman" w:hAnsi="Times New Roman"/>
          <w:sz w:val="20"/>
          <w:szCs w:val="20"/>
        </w:rPr>
        <w:t xml:space="preserve">, 2015 WL 1400384, at *10 (N.D.N.Y. 2015); </w:t>
      </w:r>
      <w:r w:rsidRPr="001D7283">
        <w:rPr>
          <w:rFonts w:ascii="Times New Roman" w:eastAsia="Times New Roman" w:hAnsi="Times New Roman"/>
          <w:i/>
          <w:sz w:val="20"/>
          <w:szCs w:val="20"/>
        </w:rPr>
        <w:t>Northern Arapaho Tribe v. Burwell</w:t>
      </w:r>
      <w:r w:rsidRPr="001D7283">
        <w:rPr>
          <w:rFonts w:ascii="Times New Roman" w:eastAsia="Times New Roman" w:hAnsi="Times New Roman"/>
          <w:sz w:val="20"/>
          <w:szCs w:val="20"/>
        </w:rPr>
        <w:t>, 118 F.</w:t>
      </w:r>
      <w:r>
        <w:rPr>
          <w:rFonts w:ascii="Times New Roman" w:eastAsia="Times New Roman" w:hAnsi="Times New Roman"/>
          <w:sz w:val="20"/>
          <w:szCs w:val="20"/>
        </w:rPr>
        <w:t xml:space="preserve"> </w:t>
      </w:r>
      <w:r w:rsidRPr="001D7283">
        <w:rPr>
          <w:rFonts w:ascii="Times New Roman" w:eastAsia="Times New Roman" w:hAnsi="Times New Roman"/>
          <w:sz w:val="20"/>
          <w:szCs w:val="20"/>
        </w:rPr>
        <w:t>Supp.</w:t>
      </w:r>
      <w:r>
        <w:rPr>
          <w:rFonts w:ascii="Times New Roman" w:eastAsia="Times New Roman" w:hAnsi="Times New Roman"/>
          <w:sz w:val="20"/>
          <w:szCs w:val="20"/>
        </w:rPr>
        <w:t xml:space="preserve"> </w:t>
      </w:r>
      <w:r w:rsidRPr="001D7283">
        <w:rPr>
          <w:rFonts w:ascii="Times New Roman" w:eastAsia="Times New Roman" w:hAnsi="Times New Roman"/>
          <w:sz w:val="20"/>
          <w:szCs w:val="20"/>
        </w:rPr>
        <w:t>3d 1264, 1279 (D. Wyo. 2015).</w:t>
      </w:r>
    </w:p>
  </w:footnote>
  <w:footnote w:id="2">
    <w:p w14:paraId="015094B1" w14:textId="51655516" w:rsidR="008736E0" w:rsidRDefault="008736E0">
      <w:pPr>
        <w:pStyle w:val="FootnoteText"/>
      </w:pPr>
      <w:r>
        <w:rPr>
          <w:rStyle w:val="FootnoteReference"/>
        </w:rPr>
        <w:footnoteRef/>
      </w:r>
      <w:r>
        <w:t xml:space="preserve"> </w:t>
      </w:r>
      <w:r w:rsidRPr="00C0117F">
        <w:rPr>
          <w:rFonts w:cstheme="minorHAnsi"/>
          <w:sz w:val="22"/>
          <w:szCs w:val="22"/>
        </w:rPr>
        <w:t>Where this comment includes linked material in footnotes, we request that the Agencies review the linked material in its entirety and consider it part of the record</w:t>
      </w:r>
      <w:r>
        <w:rPr>
          <w:rFonts w:cstheme="minorHAnsi"/>
          <w:sz w:val="22"/>
          <w:szCs w:val="22"/>
        </w:rPr>
        <w:t>.</w:t>
      </w:r>
    </w:p>
  </w:footnote>
  <w:footnote w:id="3">
    <w:p w14:paraId="2FB14542" w14:textId="77777777" w:rsidR="008736E0" w:rsidRPr="000F6ACB" w:rsidRDefault="008736E0">
      <w:pPr>
        <w:pStyle w:val="FootnoteText"/>
      </w:pPr>
      <w:r>
        <w:rPr>
          <w:rStyle w:val="FootnoteReference"/>
        </w:rPr>
        <w:footnoteRef/>
      </w:r>
      <w:r>
        <w:t xml:space="preserve"> </w:t>
      </w:r>
      <w:r>
        <w:tab/>
      </w:r>
      <w:r>
        <w:rPr>
          <w:i/>
        </w:rPr>
        <w:t>See</w:t>
      </w:r>
      <w:r>
        <w:t xml:space="preserve"> International Lesbian Gay, Bisexual, Trans and Intersex Association (ILGA), </w:t>
      </w:r>
      <w:r>
        <w:rPr>
          <w:i/>
        </w:rPr>
        <w:t>State-Sponsored Homophobia: Global Legislation Overview</w:t>
      </w:r>
      <w:r>
        <w:t xml:space="preserve">, at 48–52 (Dec. 2019), </w:t>
      </w:r>
      <w:hyperlink r:id="rId1" w:history="1">
        <w:r>
          <w:rPr>
            <w:rStyle w:val="Hyperlink"/>
          </w:rPr>
          <w:t>https://ilga.org/downloads/ILGA_World_State_Sponsored_Homophobia_report_global_legislation_overview_update_December_2019.pdf</w:t>
        </w:r>
      </w:hyperlink>
    </w:p>
  </w:footnote>
  <w:footnote w:id="4">
    <w:p w14:paraId="3EBABABC" w14:textId="77777777" w:rsidR="008736E0" w:rsidRDefault="008736E0">
      <w:pPr>
        <w:pStyle w:val="FootnoteText"/>
      </w:pPr>
      <w:r>
        <w:rPr>
          <w:rStyle w:val="FootnoteReference"/>
        </w:rPr>
        <w:footnoteRef/>
      </w:r>
      <w:r>
        <w:t xml:space="preserve"> </w:t>
      </w:r>
      <w:r>
        <w:tab/>
        <w:t xml:space="preserve">Human Dignity Trust, </w:t>
      </w:r>
      <w:r>
        <w:rPr>
          <w:i/>
        </w:rPr>
        <w:t xml:space="preserve">Map of Countries That </w:t>
      </w:r>
      <w:proofErr w:type="spellStart"/>
      <w:r>
        <w:rPr>
          <w:i/>
        </w:rPr>
        <w:t>Criminalise</w:t>
      </w:r>
      <w:proofErr w:type="spellEnd"/>
      <w:r>
        <w:rPr>
          <w:i/>
        </w:rPr>
        <w:t xml:space="preserve"> LGBT People</w:t>
      </w:r>
      <w:r>
        <w:t xml:space="preserve"> (last accessed July 2, 2020)</w:t>
      </w:r>
      <w:r>
        <w:rPr>
          <w:i/>
        </w:rPr>
        <w:t xml:space="preserve"> </w:t>
      </w:r>
      <w:r w:rsidRPr="004E02E7">
        <w:t>https://www.humandignitytrust.org/lgbt-the-law/map-of-criminalisation/</w:t>
      </w:r>
    </w:p>
  </w:footnote>
  <w:footnote w:id="5">
    <w:p w14:paraId="1C9A9C42" w14:textId="77777777" w:rsidR="008736E0" w:rsidRPr="007D1F9A" w:rsidRDefault="008736E0">
      <w:pPr>
        <w:pStyle w:val="FootnoteText"/>
      </w:pPr>
      <w:r>
        <w:rPr>
          <w:rStyle w:val="FootnoteReference"/>
        </w:rPr>
        <w:footnoteRef/>
      </w:r>
      <w:r>
        <w:t xml:space="preserve"> </w:t>
      </w:r>
      <w:r>
        <w:tab/>
        <w:t xml:space="preserve">ILGA, </w:t>
      </w:r>
      <w:r>
        <w:rPr>
          <w:i/>
        </w:rPr>
        <w:t>State-Sponsored Homophobia</w:t>
      </w:r>
      <w:r>
        <w:t>, at 10.</w:t>
      </w:r>
    </w:p>
  </w:footnote>
  <w:footnote w:id="6">
    <w:p w14:paraId="6A37AED1" w14:textId="430E27A5" w:rsidR="008736E0" w:rsidRPr="004E02E7" w:rsidRDefault="008736E0" w:rsidP="00B8626C">
      <w:pPr>
        <w:pStyle w:val="FootnoteText"/>
      </w:pPr>
      <w:r>
        <w:rPr>
          <w:rStyle w:val="FootnoteReference"/>
        </w:rPr>
        <w:footnoteRef/>
      </w:r>
      <w:r>
        <w:t xml:space="preserve"> </w:t>
      </w:r>
      <w:r>
        <w:tab/>
        <w:t xml:space="preserve">Advocates for Youth, </w:t>
      </w:r>
      <w:r>
        <w:rPr>
          <w:i/>
        </w:rPr>
        <w:t>Lesbian, Gay, Bisexual, and Transgender (LGBT) Youth in the Global South</w:t>
      </w:r>
      <w:r>
        <w:t xml:space="preserve">, at 2 (last accessed July 2, 2020), </w:t>
      </w:r>
      <w:hyperlink r:id="rId2" w:history="1">
        <w:r w:rsidRPr="00E60352">
          <w:rPr>
            <w:rStyle w:val="Hyperlink"/>
          </w:rPr>
          <w:t>https://advocatesforyouth.org/wp-content/uploads/storage//advfy/documents/Factsheets/lesbian-gay-bisexual-and-transgender-youth-in-the-global-south.pdf</w:t>
        </w:r>
      </w:hyperlink>
      <w:r>
        <w:t xml:space="preserve"> (A study in Bolivia found that 72% of transgender individuals abandoned their secondary school studies due to intense discrimination).</w:t>
      </w:r>
    </w:p>
  </w:footnote>
  <w:footnote w:id="7">
    <w:p w14:paraId="0927AE42" w14:textId="77777777" w:rsidR="008736E0" w:rsidRPr="004E02E7" w:rsidRDefault="008736E0" w:rsidP="00B8626C">
      <w:pPr>
        <w:pStyle w:val="FootnoteText"/>
      </w:pPr>
      <w:r>
        <w:rPr>
          <w:rStyle w:val="FootnoteReference"/>
        </w:rPr>
        <w:footnoteRef/>
      </w:r>
      <w:r>
        <w:t xml:space="preserve"> </w:t>
      </w:r>
      <w:r>
        <w:tab/>
        <w:t xml:space="preserve">United Nations General Assembly, </w:t>
      </w:r>
      <w:r>
        <w:rPr>
          <w:i/>
        </w:rPr>
        <w:t>Report of the independent expert on protection against violence and discrimination based on sexual orientation and gender identity</w:t>
      </w:r>
      <w:r>
        <w:t xml:space="preserve">, 3-4 (July 17, 2019), </w:t>
      </w:r>
      <w:hyperlink r:id="rId3" w:history="1">
        <w:r w:rsidRPr="00E60352">
          <w:rPr>
            <w:rStyle w:val="Hyperlink"/>
          </w:rPr>
          <w:t>https://undocs.org/A/74/181?fbclid=IwAR3xrYojctnW46K2HAFgf4ju4C_Wd-4xEzezVG_cyD3_foUOILbhjuO3538</w:t>
        </w:r>
      </w:hyperlink>
      <w:r>
        <w:t xml:space="preserve"> (LGBT students and the children of LGBT parents face taunts, physical and sexual violence, social isolation, and death threats).</w:t>
      </w:r>
    </w:p>
  </w:footnote>
  <w:footnote w:id="8">
    <w:p w14:paraId="4FC59757" w14:textId="08341E7A" w:rsidR="008736E0" w:rsidRPr="004E02E7" w:rsidRDefault="008736E0">
      <w:pPr>
        <w:pStyle w:val="FootnoteText"/>
      </w:pPr>
      <w:r>
        <w:rPr>
          <w:rStyle w:val="FootnoteReference"/>
        </w:rPr>
        <w:footnoteRef/>
      </w:r>
      <w:r w:rsidRPr="004E02E7">
        <w:t xml:space="preserve"> </w:t>
      </w:r>
      <w:r w:rsidRPr="004E02E7">
        <w:tab/>
        <w:t>Chloe</w:t>
      </w:r>
      <w:r>
        <w:t xml:space="preserve"> </w:t>
      </w:r>
      <w:proofErr w:type="spellStart"/>
      <w:r>
        <w:t>Govan</w:t>
      </w:r>
      <w:proofErr w:type="spellEnd"/>
      <w:r w:rsidRPr="004E02E7">
        <w:t xml:space="preserve">, </w:t>
      </w:r>
      <w:r w:rsidRPr="004E02E7">
        <w:rPr>
          <w:i/>
        </w:rPr>
        <w:t>Brunei LGBT community living in fear despite sultan's death penalty reprieve</w:t>
      </w:r>
      <w:r w:rsidRPr="004E02E7">
        <w:t>, The Telegraph (May 10, 2019), https://www.telegraph.co.uk/news/2019/05/10/brunei-lgbt-community-living-fear-despite-sultans-death-penalty</w:t>
      </w:r>
      <w:r w:rsidR="00AE46C1">
        <w:t>.</w:t>
      </w:r>
    </w:p>
  </w:footnote>
  <w:footnote w:id="9">
    <w:p w14:paraId="38F6E143" w14:textId="77777777" w:rsidR="008736E0" w:rsidRPr="00E42C7E" w:rsidRDefault="008736E0">
      <w:pPr>
        <w:pStyle w:val="FootnoteText"/>
      </w:pPr>
      <w:r>
        <w:rPr>
          <w:rStyle w:val="FootnoteReference"/>
        </w:rPr>
        <w:footnoteRef/>
      </w:r>
      <w:r>
        <w:t xml:space="preserve"> </w:t>
      </w:r>
      <w:r>
        <w:tab/>
      </w:r>
      <w:r>
        <w:rPr>
          <w:i/>
        </w:rPr>
        <w:t>See</w:t>
      </w:r>
      <w:r>
        <w:t xml:space="preserve"> Amnesty International, </w:t>
      </w:r>
      <w:r w:rsidRPr="00457075">
        <w:rPr>
          <w:i/>
        </w:rPr>
        <w:t>No Safe Place</w:t>
      </w:r>
      <w:r>
        <w:t xml:space="preserve">, at 7 (2017), </w:t>
      </w:r>
      <w:hyperlink r:id="rId4" w:history="1">
        <w:r>
          <w:rPr>
            <w:rStyle w:val="Hyperlink"/>
          </w:rPr>
          <w:t>https://www.amnesty.org/download/Documents/AMR0172582017ENGLISH.PDF</w:t>
        </w:r>
      </w:hyperlink>
      <w:r>
        <w:t>.</w:t>
      </w:r>
    </w:p>
  </w:footnote>
  <w:footnote w:id="10">
    <w:p w14:paraId="722C9C3B" w14:textId="6D8F3C2C" w:rsidR="008736E0" w:rsidRDefault="008736E0">
      <w:pPr>
        <w:pStyle w:val="FootnoteText"/>
      </w:pPr>
      <w:r>
        <w:rPr>
          <w:rStyle w:val="FootnoteReference"/>
        </w:rPr>
        <w:footnoteRef/>
      </w:r>
      <w:r>
        <w:t xml:space="preserve"> </w:t>
      </w:r>
      <w:r>
        <w:tab/>
      </w:r>
      <w:r>
        <w:rPr>
          <w:i/>
        </w:rPr>
        <w:t>See</w:t>
      </w:r>
      <w:r>
        <w:t xml:space="preserve"> Human Rights Watch, </w:t>
      </w:r>
      <w:r>
        <w:rPr>
          <w:i/>
        </w:rPr>
        <w:t>Audacity in Adversity: LGBT Activism in the Middle East and North Africa</w:t>
      </w:r>
      <w:r>
        <w:t xml:space="preserve"> (Apr. 16, 2018), </w:t>
      </w:r>
      <w:r w:rsidRPr="004E02E7">
        <w:t>https://www.hrw.org/report/2018/04/16/audacity-adversity/lgbt-activi</w:t>
      </w:r>
      <w:r>
        <w:t>sm-middle-east-and-north-africa.</w:t>
      </w:r>
    </w:p>
  </w:footnote>
  <w:footnote w:id="11">
    <w:p w14:paraId="2708C336" w14:textId="77777777" w:rsidR="008736E0" w:rsidRPr="004E02E7" w:rsidRDefault="008736E0">
      <w:pPr>
        <w:pStyle w:val="FootnoteText"/>
        <w:rPr>
          <w:i/>
        </w:rPr>
      </w:pPr>
      <w:r>
        <w:rPr>
          <w:rStyle w:val="FootnoteReference"/>
        </w:rPr>
        <w:footnoteRef/>
      </w:r>
      <w:r>
        <w:t xml:space="preserve"> </w:t>
      </w:r>
      <w:r>
        <w:tab/>
      </w:r>
      <w:r>
        <w:rPr>
          <w:i/>
        </w:rPr>
        <w:t>See</w:t>
      </w:r>
      <w:r>
        <w:t xml:space="preserve"> Rebekah Kebede, </w:t>
      </w:r>
      <w:r w:rsidRPr="004E02E7">
        <w:rPr>
          <w:i/>
        </w:rPr>
        <w:t xml:space="preserve">Jamaican LGBTQ youths </w:t>
      </w:r>
      <w:r>
        <w:rPr>
          <w:i/>
        </w:rPr>
        <w:t>escape</w:t>
      </w:r>
      <w:r w:rsidRPr="004E02E7">
        <w:rPr>
          <w:i/>
        </w:rPr>
        <w:t xml:space="preserve"> persecution in city storm drains</w:t>
      </w:r>
      <w:r>
        <w:t xml:space="preserve">, Reuters (Mar. 1, 2017), </w:t>
      </w:r>
      <w:r w:rsidRPr="004E02E7">
        <w:t>https://www.reuters.com/article/us-jamaica-lgbt-homeless/jamaican-lgbtq-youths-escape-persecution-in-city-storm-drains-idUSKBN1685AY</w:t>
      </w:r>
      <w:r>
        <w:t>.</w:t>
      </w:r>
    </w:p>
  </w:footnote>
  <w:footnote w:id="12">
    <w:p w14:paraId="1635A41E" w14:textId="77777777" w:rsidR="008736E0" w:rsidRPr="0052505C" w:rsidRDefault="008736E0">
      <w:pPr>
        <w:pStyle w:val="FootnoteText"/>
      </w:pPr>
      <w:r>
        <w:rPr>
          <w:rStyle w:val="FootnoteReference"/>
        </w:rPr>
        <w:footnoteRef/>
      </w:r>
      <w:r>
        <w:t xml:space="preserve"> </w:t>
      </w:r>
      <w:r>
        <w:tab/>
      </w:r>
      <w:r>
        <w:rPr>
          <w:i/>
        </w:rPr>
        <w:t>See</w:t>
      </w:r>
      <w:r>
        <w:t xml:space="preserve"> </w:t>
      </w:r>
      <w:r>
        <w:rPr>
          <w:i/>
        </w:rPr>
        <w:t>2019 Country Reports on Human Rights Practices</w:t>
      </w:r>
      <w:r>
        <w:t>, Appendix A.</w:t>
      </w:r>
    </w:p>
  </w:footnote>
  <w:footnote w:id="13">
    <w:p w14:paraId="22E5E0E7" w14:textId="77777777" w:rsidR="008736E0" w:rsidRPr="004E02E7" w:rsidRDefault="008736E0">
      <w:pPr>
        <w:pStyle w:val="FootnoteText"/>
      </w:pPr>
      <w:r>
        <w:rPr>
          <w:rStyle w:val="FootnoteReference"/>
        </w:rPr>
        <w:footnoteRef/>
      </w:r>
      <w:r>
        <w:t xml:space="preserve"> </w:t>
      </w:r>
      <w:r>
        <w:tab/>
      </w:r>
      <w:r>
        <w:rPr>
          <w:i/>
        </w:rPr>
        <w:t>See</w:t>
      </w:r>
      <w:r>
        <w:t xml:space="preserve"> Human Rights Watch, </w:t>
      </w:r>
      <w:proofErr w:type="spellStart"/>
      <w:r>
        <w:rPr>
          <w:i/>
        </w:rPr>
        <w:t>Audiacity</w:t>
      </w:r>
      <w:proofErr w:type="spellEnd"/>
      <w:r>
        <w:rPr>
          <w:i/>
        </w:rPr>
        <w:t xml:space="preserve"> in Adversity</w:t>
      </w:r>
    </w:p>
  </w:footnote>
  <w:footnote w:id="14">
    <w:p w14:paraId="67F1B4C3" w14:textId="77777777" w:rsidR="008736E0" w:rsidRPr="004E02E7" w:rsidRDefault="008736E0">
      <w:pPr>
        <w:pStyle w:val="FootnoteText"/>
      </w:pPr>
      <w:r>
        <w:rPr>
          <w:rStyle w:val="FootnoteReference"/>
        </w:rPr>
        <w:footnoteRef/>
      </w:r>
      <w:r>
        <w:t xml:space="preserve"> </w:t>
      </w:r>
      <w:r>
        <w:tab/>
        <w:t xml:space="preserve">Andrew E. Kramer, </w:t>
      </w:r>
      <w:r>
        <w:rPr>
          <w:i/>
        </w:rPr>
        <w:t>Chechnya Renews Crackdown on Gay People, Rights Group Says</w:t>
      </w:r>
      <w:r>
        <w:t xml:space="preserve">, N.Y. Times (Jan. 14, 2019), </w:t>
      </w:r>
      <w:r w:rsidRPr="004E02E7">
        <w:t>https://www.nytimes.com/2019/01/14/world/europe/chechnya-gay-people-russia.html</w:t>
      </w:r>
      <w:r>
        <w:t>.</w:t>
      </w:r>
    </w:p>
  </w:footnote>
  <w:footnote w:id="15">
    <w:p w14:paraId="3EB09B8B" w14:textId="77777777" w:rsidR="008736E0" w:rsidRPr="00DE1DD4" w:rsidRDefault="008736E0">
      <w:pPr>
        <w:pStyle w:val="FootnoteText"/>
      </w:pPr>
      <w:r>
        <w:rPr>
          <w:rStyle w:val="FootnoteReference"/>
        </w:rPr>
        <w:footnoteRef/>
      </w:r>
      <w:r>
        <w:t xml:space="preserve"> </w:t>
      </w:r>
      <w:r>
        <w:tab/>
      </w:r>
      <w:r>
        <w:rPr>
          <w:i/>
        </w:rPr>
        <w:t>See</w:t>
      </w:r>
      <w:r>
        <w:t xml:space="preserve"> Ivette Feliciano &amp; Zachary Green, </w:t>
      </w:r>
      <w:r>
        <w:rPr>
          <w:i/>
        </w:rPr>
        <w:t>LGBTQ asylum seekers persecuted and home and in US custody</w:t>
      </w:r>
      <w:r>
        <w:t>, PBS News Hour (Aug. 10, 2019) (“[O]ne night while doing outreach with sex workers in . . . San Salvador, she was beaten and shot in the shoulder by a group of gang members</w:t>
      </w:r>
      <w:proofErr w:type="gramStart"/>
      <w:r>
        <w:t>. . . .</w:t>
      </w:r>
      <w:proofErr w:type="gramEnd"/>
      <w:r>
        <w:t xml:space="preserve">  Police detained but eventually released the men with no charges.  Castro says they knew she was the one who had complained, so they began to follow her and threaten her with death.”) </w:t>
      </w:r>
      <w:hyperlink r:id="rId5" w:history="1">
        <w:r>
          <w:rPr>
            <w:rStyle w:val="Hyperlink"/>
          </w:rPr>
          <w:t>https://www.pbs.org/newshour/show/lgbtq-asylum-seekers-persecuted-at-home-and-in-u-s-custody</w:t>
        </w:r>
      </w:hyperlink>
    </w:p>
  </w:footnote>
  <w:footnote w:id="16">
    <w:p w14:paraId="184C0342" w14:textId="77777777" w:rsidR="008736E0" w:rsidRPr="004E02E7" w:rsidRDefault="008736E0">
      <w:pPr>
        <w:pStyle w:val="FootnoteText"/>
      </w:pPr>
      <w:r>
        <w:rPr>
          <w:rStyle w:val="FootnoteReference"/>
        </w:rPr>
        <w:footnoteRef/>
      </w:r>
      <w:r>
        <w:t xml:space="preserve"> </w:t>
      </w:r>
      <w:r>
        <w:tab/>
      </w:r>
      <w:r>
        <w:rPr>
          <w:i/>
        </w:rPr>
        <w:t>See</w:t>
      </w:r>
      <w:r>
        <w:t xml:space="preserve"> Human Rights Watch, </w:t>
      </w:r>
      <w:r>
        <w:rPr>
          <w:i/>
        </w:rPr>
        <w:t>License to Harm: Violence and Harassment against LGBT People and Activists in Russia</w:t>
      </w:r>
      <w:r>
        <w:t xml:space="preserve"> (Dec. 15, 2014), </w:t>
      </w:r>
      <w:r w:rsidRPr="004E02E7">
        <w:t>https://www.hrw.org/report/2014/12/15/license-harm/violence-and-harassment-against-lgbt-people-and-activists-russia</w:t>
      </w:r>
      <w:r>
        <w:t>.</w:t>
      </w:r>
    </w:p>
  </w:footnote>
  <w:footnote w:id="17">
    <w:p w14:paraId="3725B3B3" w14:textId="77777777" w:rsidR="008736E0" w:rsidRPr="00457075" w:rsidRDefault="008736E0">
      <w:pPr>
        <w:pStyle w:val="FootnoteText"/>
      </w:pPr>
      <w:r>
        <w:rPr>
          <w:rStyle w:val="FootnoteReference"/>
        </w:rPr>
        <w:footnoteRef/>
      </w:r>
      <w:r>
        <w:t xml:space="preserve"> </w:t>
      </w:r>
      <w:r>
        <w:tab/>
      </w:r>
      <w:r>
        <w:rPr>
          <w:i/>
        </w:rPr>
        <w:t>See</w:t>
      </w:r>
      <w:r>
        <w:t xml:space="preserve"> Oscar Lopez, </w:t>
      </w:r>
      <w:r>
        <w:rPr>
          <w:i/>
        </w:rPr>
        <w:t>Pressure mounts for El Salvador to investigate wave of LGBT+ killings</w:t>
      </w:r>
      <w:r>
        <w:t xml:space="preserve">, Reuters (Nov. 21, 2019), </w:t>
      </w:r>
      <w:hyperlink r:id="rId6" w:history="1">
        <w:r>
          <w:rPr>
            <w:rStyle w:val="Hyperlink"/>
          </w:rPr>
          <w:t>https://www.reuters.com/article/us-el-salvador-lgbt-murder-trfn/pressure-mounts-for-el-salvador-to-investigate-wave-of-lgbt-killings-idUSKBN1XW01G</w:t>
        </w:r>
      </w:hyperlink>
      <w:r>
        <w:t>.</w:t>
      </w:r>
    </w:p>
  </w:footnote>
  <w:footnote w:id="18">
    <w:p w14:paraId="3C6BA0C3" w14:textId="77777777" w:rsidR="008736E0" w:rsidRPr="00EB4AA3" w:rsidRDefault="008736E0">
      <w:pPr>
        <w:pStyle w:val="FootnoteText"/>
      </w:pPr>
      <w:r>
        <w:rPr>
          <w:rStyle w:val="FootnoteReference"/>
        </w:rPr>
        <w:footnoteRef/>
      </w:r>
      <w:r>
        <w:t xml:space="preserve"> </w:t>
      </w:r>
      <w:r>
        <w:tab/>
      </w:r>
      <w:r>
        <w:rPr>
          <w:i/>
        </w:rPr>
        <w:t>See</w:t>
      </w:r>
      <w:r>
        <w:t xml:space="preserve"> Neela Ghoshal, </w:t>
      </w:r>
      <w:r>
        <w:rPr>
          <w:i/>
        </w:rPr>
        <w:t>Uganda LGBT Shelter Residents Arrested on COVID-19 Pretext</w:t>
      </w:r>
      <w:r>
        <w:t xml:space="preserve">, Human Rights Watch (Apr. 3, 2020), </w:t>
      </w:r>
      <w:r w:rsidRPr="00EB4AA3">
        <w:t>https://www.hrw.org/news/2020/04/03/uganda-lgbt-shelter-residents-arrested-covid-19-pretext</w:t>
      </w:r>
      <w:r>
        <w:t>.</w:t>
      </w:r>
    </w:p>
  </w:footnote>
  <w:footnote w:id="19">
    <w:p w14:paraId="08031E4D" w14:textId="77777777" w:rsidR="008736E0" w:rsidRPr="0034249E" w:rsidRDefault="008736E0">
      <w:pPr>
        <w:pStyle w:val="FootnoteText"/>
      </w:pPr>
      <w:r>
        <w:rPr>
          <w:rStyle w:val="FootnoteReference"/>
        </w:rPr>
        <w:footnoteRef/>
      </w:r>
      <w:r>
        <w:t xml:space="preserve"> </w:t>
      </w:r>
      <w:r>
        <w:tab/>
      </w:r>
      <w:r>
        <w:rPr>
          <w:i/>
        </w:rPr>
        <w:t>See</w:t>
      </w:r>
      <w:r>
        <w:t xml:space="preserve"> Human Rights Watch, </w:t>
      </w:r>
      <w:r>
        <w:rPr>
          <w:i/>
        </w:rPr>
        <w:t>Uganda: Stop Police Harassment of LGBT People</w:t>
      </w:r>
      <w:r>
        <w:t xml:space="preserve"> (Nov. 17, 2019), </w:t>
      </w:r>
      <w:r w:rsidRPr="0034249E">
        <w:t>https://www.hrw.org/news/2019/11/17/uganda-stop-police-harassment-lgbt-people</w:t>
      </w:r>
    </w:p>
  </w:footnote>
  <w:footnote w:id="20">
    <w:p w14:paraId="7AAE320E" w14:textId="77777777" w:rsidR="008736E0" w:rsidRPr="004E02E7" w:rsidRDefault="008736E0">
      <w:pPr>
        <w:pStyle w:val="FootnoteText"/>
      </w:pPr>
      <w:r>
        <w:rPr>
          <w:rStyle w:val="FootnoteReference"/>
        </w:rPr>
        <w:footnoteRef/>
      </w:r>
      <w:r>
        <w:t xml:space="preserve"> </w:t>
      </w:r>
      <w:r>
        <w:tab/>
      </w:r>
      <w:r>
        <w:rPr>
          <w:i/>
        </w:rPr>
        <w:t>See</w:t>
      </w:r>
      <w:r>
        <w:t xml:space="preserve"> </w:t>
      </w:r>
      <w:r>
        <w:rPr>
          <w:i/>
        </w:rPr>
        <w:t>Human Rights Violations Against Lesbian, Gay, Bisexual, and Transgender (LGBT) People in Jamaica: A Shadow Report</w:t>
      </w:r>
      <w:r>
        <w:t>, submitted at 118</w:t>
      </w:r>
      <w:r w:rsidRPr="004E02E7">
        <w:rPr>
          <w:vertAlign w:val="superscript"/>
        </w:rPr>
        <w:t>th</w:t>
      </w:r>
      <w:r>
        <w:t xml:space="preserve"> Session of Human Rights Committee in Geneva, at 5 (Sept. 2016), </w:t>
      </w:r>
      <w:r w:rsidRPr="004E02E7">
        <w:t>https://tbinternet.ohchr.org/Treaties/CCPR/Shared%20Documents/JAM/INT_CCPR_CSS_JAM_25269_E.pdf</w:t>
      </w:r>
    </w:p>
  </w:footnote>
  <w:footnote w:id="21">
    <w:p w14:paraId="75F896C3" w14:textId="77777777" w:rsidR="008736E0" w:rsidRDefault="008736E0" w:rsidP="00E24F6A">
      <w:pPr>
        <w:pStyle w:val="FootnoteText"/>
      </w:pPr>
      <w:r>
        <w:rPr>
          <w:rStyle w:val="FootnoteReference"/>
        </w:rPr>
        <w:footnoteRef/>
      </w:r>
      <w:r>
        <w:t xml:space="preserve"> </w:t>
      </w:r>
      <w:r>
        <w:tab/>
        <w:t xml:space="preserve">Anastasia Moloney, </w:t>
      </w:r>
      <w:r w:rsidRPr="004E02E7">
        <w:rPr>
          <w:i/>
        </w:rPr>
        <w:t>Gays in Ecuador raped and beaten in rehab clinics to "cure" them</w:t>
      </w:r>
      <w:r>
        <w:t xml:space="preserve">, Reuters (Feb. 8, 2018), </w:t>
      </w:r>
      <w:r w:rsidRPr="004E02E7">
        <w:t>https://www.reuters.com/article/ecuador-lgbt-rights/feature-gays-in-ecuador-raped-and-beaten-in-rehab-clinics-to-cure-them-idUSL8N1P03QO</w:t>
      </w:r>
    </w:p>
  </w:footnote>
  <w:footnote w:id="22">
    <w:p w14:paraId="6A29F1EB" w14:textId="77777777" w:rsidR="008736E0" w:rsidRPr="004E02E7" w:rsidRDefault="008736E0">
      <w:pPr>
        <w:pStyle w:val="FootnoteText"/>
      </w:pPr>
      <w:r>
        <w:rPr>
          <w:rStyle w:val="FootnoteReference"/>
        </w:rPr>
        <w:footnoteRef/>
      </w:r>
      <w:r>
        <w:t xml:space="preserve"> </w:t>
      </w:r>
      <w:r>
        <w:tab/>
        <w:t xml:space="preserve">International Rehabilitation Council for Torture Victims, </w:t>
      </w:r>
      <w:r>
        <w:rPr>
          <w:i/>
        </w:rPr>
        <w:t>It’s Torture Not Therapy: A Global Overview of Conversion Therapy</w:t>
      </w:r>
      <w:r>
        <w:t xml:space="preserve">, at 15 (2020), </w:t>
      </w:r>
      <w:r w:rsidRPr="004E02E7">
        <w:t>https://irct.org/assets/uploads/pdf_20200513134339.pdf</w:t>
      </w:r>
      <w:r>
        <w:t>.</w:t>
      </w:r>
    </w:p>
  </w:footnote>
  <w:footnote w:id="23">
    <w:p w14:paraId="6632BC41" w14:textId="77777777" w:rsidR="008736E0" w:rsidRPr="004E02E7" w:rsidRDefault="008736E0">
      <w:pPr>
        <w:pStyle w:val="FootnoteText"/>
      </w:pPr>
      <w:r>
        <w:rPr>
          <w:rStyle w:val="FootnoteReference"/>
        </w:rPr>
        <w:footnoteRef/>
      </w:r>
      <w:r>
        <w:t xml:space="preserve"> </w:t>
      </w:r>
      <w:r>
        <w:tab/>
        <w:t xml:space="preserve">Avert, </w:t>
      </w:r>
      <w:r>
        <w:rPr>
          <w:i/>
        </w:rPr>
        <w:t>Homophobia and HIV</w:t>
      </w:r>
      <w:r>
        <w:t xml:space="preserve"> (last accessed July 2, 2020) </w:t>
      </w:r>
      <w:r w:rsidRPr="004E02E7">
        <w:t>https://www.avert.org/professionals/hiv-social-issues/homophobia</w:t>
      </w:r>
      <w:r>
        <w:t>.</w:t>
      </w:r>
    </w:p>
  </w:footnote>
  <w:footnote w:id="24">
    <w:p w14:paraId="436CFB6E" w14:textId="77777777" w:rsidR="008736E0" w:rsidRDefault="008736E0" w:rsidP="0007311B">
      <w:pPr>
        <w:pStyle w:val="FootnoteText"/>
      </w:pPr>
      <w:r>
        <w:rPr>
          <w:rStyle w:val="FootnoteReference"/>
        </w:rPr>
        <w:footnoteRef/>
      </w:r>
      <w:r>
        <w:t xml:space="preserve"> </w:t>
      </w:r>
      <w:r>
        <w:rPr>
          <w:i/>
        </w:rPr>
        <w:t xml:space="preserve">See, e.g., </w:t>
      </w:r>
      <w:r>
        <w:t xml:space="preserve">Nelson Renteria, </w:t>
      </w:r>
      <w:r>
        <w:rPr>
          <w:i/>
        </w:rPr>
        <w:t>Trans asylum-seeker killed after U.S. deportation back to El Salvador</w:t>
      </w:r>
      <w:r>
        <w:t>, Reuters (Feb. 22, 2019),</w:t>
      </w:r>
      <w:hyperlink r:id="rId7" w:history="1">
        <w:r w:rsidRPr="009278DD">
          <w:rPr>
            <w:rStyle w:val="Hyperlink"/>
          </w:rPr>
          <w:t>https://www.reuters.com/article/us-usa-immigration-violence/trans-asylum-seeker-killed-after-u-s-deportation-back-to-el-salvador-idUSKCN1QC03L</w:t>
        </w:r>
      </w:hyperlink>
      <w:r w:rsidRPr="006F08A2">
        <w:t>.</w:t>
      </w:r>
    </w:p>
  </w:footnote>
  <w:footnote w:id="25">
    <w:p w14:paraId="7A025697" w14:textId="3A597687" w:rsidR="00E9310F" w:rsidRDefault="00E9310F">
      <w:pPr>
        <w:pStyle w:val="FootnoteText"/>
      </w:pPr>
      <w:r>
        <w:rPr>
          <w:rStyle w:val="FootnoteReference"/>
        </w:rPr>
        <w:footnoteRef/>
      </w:r>
      <w:r>
        <w:t xml:space="preserve"> Available at: </w:t>
      </w:r>
      <w:hyperlink r:id="rId8" w:history="1">
        <w:r>
          <w:rPr>
            <w:rStyle w:val="Hyperlink"/>
          </w:rPr>
          <w:t>https://www.uscis.gov/sites/default/files/USCIS/Humanitarian/Refugees%20%26%20Asylum/Asylum/Asylum%20Native%20Documents%20and%20Static%20Files/RAIO-Training-March-2012.pdf</w:t>
        </w:r>
      </w:hyperlink>
      <w:r>
        <w:t>.</w:t>
      </w:r>
    </w:p>
  </w:footnote>
  <w:footnote w:id="26">
    <w:p w14:paraId="41008DC0" w14:textId="158DDB3A" w:rsidR="008736E0" w:rsidRDefault="008736E0">
      <w:pPr>
        <w:pStyle w:val="FootnoteText"/>
      </w:pPr>
      <w:r>
        <w:rPr>
          <w:rStyle w:val="FootnoteReference"/>
        </w:rPr>
        <w:footnoteRef/>
      </w:r>
      <w:r>
        <w:t xml:space="preserve"> </w:t>
      </w:r>
      <w:r>
        <w:tab/>
        <w:t xml:space="preserve">Cheney et al., </w:t>
      </w:r>
      <w:r>
        <w:rPr>
          <w:i/>
        </w:rPr>
        <w:t xml:space="preserve">Living Outside </w:t>
      </w:r>
      <w:proofErr w:type="spellStart"/>
      <w:r>
        <w:rPr>
          <w:i/>
        </w:rPr>
        <w:t>th</w:t>
      </w:r>
      <w:proofErr w:type="spellEnd"/>
      <w:r>
        <w:rPr>
          <w:i/>
        </w:rPr>
        <w:t xml:space="preserve"> Gender Box in Mexico: Testimony of Transgender Mexican Asylum Seekers</w:t>
      </w:r>
      <w:r>
        <w:t xml:space="preserve">, 107(10) Am. J. Public Health 1646, (Oct. 2017), </w:t>
      </w:r>
      <w:r w:rsidRPr="00FE5ABB">
        <w:t>https://www.ncbi.nlm.nih.gov/pmc/articles/PMC5607674/</w:t>
      </w:r>
      <w:r>
        <w:t>.</w:t>
      </w:r>
    </w:p>
  </w:footnote>
  <w:footnote w:id="27">
    <w:p w14:paraId="4D4AE27B" w14:textId="77777777" w:rsidR="008736E0" w:rsidRDefault="008736E0">
      <w:pPr>
        <w:pStyle w:val="FootnoteText"/>
      </w:pPr>
      <w:r>
        <w:rPr>
          <w:rStyle w:val="FootnoteReference"/>
        </w:rPr>
        <w:footnoteRef/>
      </w:r>
      <w:r>
        <w:t xml:space="preserve"> </w:t>
      </w:r>
      <w:r>
        <w:tab/>
        <w:t xml:space="preserve">The Proposed Rule is also ambiguous about whether it would support claims based on any of the below </w:t>
      </w:r>
      <w:r>
        <w:rPr>
          <w:i/>
        </w:rPr>
        <w:t>alongside</w:t>
      </w:r>
      <w:r>
        <w:t xml:space="preserve"> other motivations (</w:t>
      </w:r>
      <w:r>
        <w:rPr>
          <w:i/>
        </w:rPr>
        <w:t>e.g.</w:t>
      </w:r>
      <w:r>
        <w:t xml:space="preserve">, persecution on account of personal animus and membership in a particular social group).  </w:t>
      </w:r>
    </w:p>
  </w:footnote>
  <w:footnote w:id="28">
    <w:p w14:paraId="5942F361" w14:textId="122FF4BA" w:rsidR="008736E0" w:rsidRPr="0058571B" w:rsidRDefault="008736E0">
      <w:pPr>
        <w:pStyle w:val="FootnoteText"/>
      </w:pPr>
      <w:r>
        <w:rPr>
          <w:rStyle w:val="FootnoteReference"/>
        </w:rPr>
        <w:footnoteRef/>
      </w:r>
      <w:r>
        <w:t xml:space="preserve"> </w:t>
      </w:r>
      <w:r>
        <w:tab/>
      </w:r>
      <w:r w:rsidRPr="00F64209">
        <w:t>Guidelines on International Protection No. 9: Claims to Refugee Status based on Sexual Orientation and/or Gender Identity within the context of Article 1A(2) of the 1951 Convention and/or its 1967 Protocol relating to the Status of Refugees ¶¶ 40, 50 (HCR/GIP/12/09) (Oct. 23, 2012),</w:t>
      </w:r>
      <w:r>
        <w:t xml:space="preserve"> </w:t>
      </w:r>
      <w:hyperlink r:id="rId9" w:history="1">
        <w:r>
          <w:rPr>
            <w:rStyle w:val="Hyperlink"/>
          </w:rPr>
          <w:t>http://www.unhcr.org/509136ca9.pdf</w:t>
        </w:r>
      </w:hyperlink>
      <w:r w:rsidR="0058571B">
        <w:rPr>
          <w:rStyle w:val="Hyperlink"/>
          <w:u w:val="none"/>
        </w:rPr>
        <w:t>.</w:t>
      </w:r>
    </w:p>
  </w:footnote>
  <w:footnote w:id="29">
    <w:p w14:paraId="787FB4A4" w14:textId="0472DA80" w:rsidR="008736E0" w:rsidRDefault="0058571B">
      <w:pPr>
        <w:pStyle w:val="FootnoteText"/>
      </w:pPr>
      <w:r>
        <w:t xml:space="preserve">   </w:t>
      </w:r>
      <w:r w:rsidR="008736E0">
        <w:rPr>
          <w:rStyle w:val="FootnoteReference"/>
        </w:rPr>
        <w:footnoteRef/>
      </w:r>
      <w:r w:rsidR="008736E0">
        <w:t xml:space="preserve"> </w:t>
      </w:r>
      <w:r w:rsidR="008736E0">
        <w:tab/>
        <w:t xml:space="preserve">The Proposed Rule’s footnote explaining that “expressive behavior” is “political activism” but not “acts of personal civic responsibility” is not reflected in the text of the proposed regulations.  </w:t>
      </w:r>
      <w:r w:rsidR="008736E0">
        <w:rPr>
          <w:i/>
        </w:rPr>
        <w:t>Compare</w:t>
      </w:r>
      <w:r w:rsidR="008736E0">
        <w:t xml:space="preserve"> Notice at 58 n.30, with Proposed Rule 208.1(d).  </w:t>
      </w:r>
    </w:p>
  </w:footnote>
  <w:footnote w:id="30">
    <w:p w14:paraId="38562D3C" w14:textId="101C05DF" w:rsidR="008736E0" w:rsidRDefault="008736E0">
      <w:pPr>
        <w:pStyle w:val="FootnoteText"/>
      </w:pPr>
      <w:r>
        <w:rPr>
          <w:rStyle w:val="FootnoteReference"/>
        </w:rPr>
        <w:footnoteRef/>
      </w:r>
      <w:r>
        <w:t xml:space="preserve"> </w:t>
      </w:r>
      <w:r>
        <w:tab/>
      </w:r>
      <w:r>
        <w:rPr>
          <w:i/>
        </w:rPr>
        <w:t>See</w:t>
      </w:r>
      <w:r>
        <w:t xml:space="preserve"> </w:t>
      </w:r>
      <w:r>
        <w:rPr>
          <w:i/>
        </w:rPr>
        <w:t>Haider v. Holder</w:t>
      </w:r>
      <w:r>
        <w:t xml:space="preserve">, 595 F.3d 276, 286 (6th Cir. 2010) (“[T]he types of actions that might cross the line from harassments to persecution include [] detention [].”); </w:t>
      </w:r>
      <w:proofErr w:type="spellStart"/>
      <w:r>
        <w:rPr>
          <w:i/>
        </w:rPr>
        <w:t>Beskovic</w:t>
      </w:r>
      <w:proofErr w:type="spellEnd"/>
      <w:r>
        <w:rPr>
          <w:i/>
        </w:rPr>
        <w:t xml:space="preserve"> v. Gonzales</w:t>
      </w:r>
      <w:r>
        <w:t>, 467 F.3d 223, 227 (2d Cir. 2006) (“The circumstances surrounding a petitioner’s arrest or detention require a case-by-case adjudication by the BIA.”);</w:t>
      </w:r>
      <w:r>
        <w:rPr>
          <w:i/>
        </w:rPr>
        <w:t xml:space="preserve"> Shi v. U.S. Atty. Gen.</w:t>
      </w:r>
      <w:r>
        <w:t xml:space="preserve">, 707 F.3d 1131, 1237 (11th Cir. 2013) (detention rose to level of persecution); </w:t>
      </w:r>
      <w:proofErr w:type="spellStart"/>
      <w:r w:rsidRPr="00E65D01">
        <w:rPr>
          <w:rFonts w:cstheme="minorHAnsi"/>
          <w:i/>
        </w:rPr>
        <w:t>Choezom</w:t>
      </w:r>
      <w:proofErr w:type="spellEnd"/>
      <w:r w:rsidRPr="00E65D01">
        <w:rPr>
          <w:rFonts w:cstheme="minorHAnsi"/>
          <w:i/>
        </w:rPr>
        <w:t xml:space="preserve"> v. Mukasey</w:t>
      </w:r>
      <w:r>
        <w:t xml:space="preserve">, 300 F. </w:t>
      </w:r>
      <w:proofErr w:type="spellStart"/>
      <w:r>
        <w:t>App’x</w:t>
      </w:r>
      <w:proofErr w:type="spellEnd"/>
      <w:r>
        <w:t xml:space="preserve"> 79, 80 (2d Cir. 2008).  </w:t>
      </w:r>
    </w:p>
  </w:footnote>
  <w:footnote w:id="31">
    <w:p w14:paraId="1F593DF3" w14:textId="39CA2E18" w:rsidR="008736E0" w:rsidRDefault="008736E0">
      <w:pPr>
        <w:pStyle w:val="FootnoteText"/>
      </w:pPr>
      <w:r>
        <w:rPr>
          <w:rStyle w:val="FootnoteReference"/>
        </w:rPr>
        <w:footnoteRef/>
      </w:r>
      <w:r>
        <w:t xml:space="preserve"> </w:t>
      </w:r>
      <w:r>
        <w:tab/>
      </w:r>
      <w:r>
        <w:rPr>
          <w:i/>
        </w:rPr>
        <w:t>See</w:t>
      </w:r>
      <w:r>
        <w:t xml:space="preserve"> </w:t>
      </w:r>
      <w:r>
        <w:rPr>
          <w:i/>
        </w:rPr>
        <w:t>Herrera-Reyes v. Atty. Gen.</w:t>
      </w:r>
      <w:r>
        <w:t xml:space="preserve">, 952 F.3d 101, 107 (3d Cir. 2020) (holding threats constitute persecution when “the cumulative effect of the threat and its corroboration presents a real threat to a petitioner’s life or freedom”).  </w:t>
      </w:r>
      <w:r>
        <w:rPr>
          <w:i/>
        </w:rPr>
        <w:t>Mejia v. U.S. Atty. Gen.</w:t>
      </w:r>
      <w:r>
        <w:t xml:space="preserve">, 498 F.3d 1253, 1258 (11th Cir. 2007) (“In assessing past persecution we are required to consider the </w:t>
      </w:r>
      <w:r>
        <w:rPr>
          <w:i/>
        </w:rPr>
        <w:t>cumulative</w:t>
      </w:r>
      <w:r>
        <w:t xml:space="preserve"> effect of the mistreatment the petitioners suffered.”) (emphasis added)</w:t>
      </w:r>
      <w:r w:rsidR="0058571B">
        <w:t>.</w:t>
      </w:r>
    </w:p>
  </w:footnote>
  <w:footnote w:id="32">
    <w:p w14:paraId="3DAA4388" w14:textId="77777777" w:rsidR="008736E0" w:rsidRPr="00214C7E" w:rsidRDefault="008736E0">
      <w:pPr>
        <w:pStyle w:val="FootnoteText"/>
      </w:pPr>
      <w:r>
        <w:rPr>
          <w:rStyle w:val="FootnoteReference"/>
        </w:rPr>
        <w:footnoteRef/>
      </w:r>
      <w:r>
        <w:t xml:space="preserve"> </w:t>
      </w:r>
      <w:r>
        <w:tab/>
        <w:t xml:space="preserve">Human Rights Watch, </w:t>
      </w:r>
      <w:r>
        <w:rPr>
          <w:i/>
        </w:rPr>
        <w:t>Not Safe at Home</w:t>
      </w:r>
      <w:r>
        <w:t xml:space="preserve">, at 10 (2014), </w:t>
      </w:r>
      <w:hyperlink r:id="rId10" w:history="1">
        <w:r>
          <w:rPr>
            <w:rStyle w:val="Hyperlink"/>
          </w:rPr>
          <w:t>https://www.hrw.org/sites/default/files/reports/jamaica1014_ForUpload_1.pdf</w:t>
        </w:r>
      </w:hyperlink>
      <w:r>
        <w:t>.</w:t>
      </w:r>
    </w:p>
  </w:footnote>
  <w:footnote w:id="33">
    <w:p w14:paraId="6E23ABF9" w14:textId="30836B65" w:rsidR="008736E0" w:rsidRDefault="008736E0">
      <w:pPr>
        <w:pStyle w:val="FootnoteText"/>
      </w:pPr>
      <w:r>
        <w:rPr>
          <w:rStyle w:val="FootnoteReference"/>
        </w:rPr>
        <w:footnoteRef/>
      </w:r>
      <w:r>
        <w:t xml:space="preserve"> [insert sample country conditions submissions with Links to ImEq website]</w:t>
      </w:r>
    </w:p>
  </w:footnote>
  <w:footnote w:id="34">
    <w:p w14:paraId="5835B03B" w14:textId="77777777" w:rsidR="00E66F07" w:rsidRDefault="00E66F07" w:rsidP="00E66F07">
      <w:pPr>
        <w:pStyle w:val="FootnoteText"/>
      </w:pPr>
      <w:r>
        <w:rPr>
          <w:rStyle w:val="FootnoteReference"/>
        </w:rPr>
        <w:footnoteRef/>
      </w:r>
      <w:r>
        <w:t xml:space="preserve"> </w:t>
      </w:r>
      <w:r>
        <w:tab/>
      </w:r>
      <w:r>
        <w:rPr>
          <w:i/>
        </w:rPr>
        <w:t>See</w:t>
      </w:r>
      <w:r>
        <w:t xml:space="preserve"> Aviva Stahl, </w:t>
      </w:r>
      <w:r>
        <w:rPr>
          <w:i/>
        </w:rPr>
        <w:t>Shelter for LGBT migrants in Tijuana robbed and set on fire</w:t>
      </w:r>
      <w:r>
        <w:t xml:space="preserve">, Women’s Media Center (May 11, 2018), </w:t>
      </w:r>
      <w:hyperlink r:id="rId11" w:history="1">
        <w:r>
          <w:rPr>
            <w:rStyle w:val="Hyperlink"/>
          </w:rPr>
          <w:t>https://www.womensmediacenter.com/news-features/shelter-for-lgbt-migrants-in-tijuana-robbed-and-set-on-fire</w:t>
        </w:r>
      </w:hyperlink>
      <w:r>
        <w:t>.</w:t>
      </w:r>
    </w:p>
  </w:footnote>
  <w:footnote w:id="35">
    <w:p w14:paraId="1EB6A120" w14:textId="7F59D38A" w:rsidR="00E66F07" w:rsidRPr="00EE168E" w:rsidRDefault="00E66F07" w:rsidP="00E66F07">
      <w:pPr>
        <w:pStyle w:val="FootnoteText"/>
      </w:pPr>
      <w:r>
        <w:rPr>
          <w:rStyle w:val="FootnoteReference"/>
        </w:rPr>
        <w:footnoteRef/>
      </w:r>
      <w:r>
        <w:t xml:space="preserve"> </w:t>
      </w:r>
      <w:r>
        <w:tab/>
        <w:t xml:space="preserve">Department of State, </w:t>
      </w:r>
      <w:r>
        <w:rPr>
          <w:i/>
        </w:rPr>
        <w:t>2019 Country Reports on Human Rights Practices: El Salvador</w:t>
      </w:r>
      <w:r w:rsidRPr="00EE168E">
        <w:t xml:space="preserve"> </w:t>
      </w:r>
      <w:r w:rsidRPr="00EE168E">
        <w:rPr>
          <w:rFonts w:ascii="Times New Roman" w:hAnsi="Times New Roman"/>
        </w:rPr>
        <w:t>§</w:t>
      </w:r>
      <w:r w:rsidRPr="00EE168E">
        <w:t xml:space="preserve"> 6</w:t>
      </w:r>
      <w:r>
        <w:t xml:space="preserve"> </w:t>
      </w:r>
      <w:hyperlink r:id="rId12" w:history="1">
        <w:r w:rsidRPr="0044764B">
          <w:t>https://www.state.gov/reports/2019-country-reports-on-human-rights-practices/el-salvador/</w:t>
        </w:r>
      </w:hyperlink>
      <w:r>
        <w:t xml:space="preserve"> (“</w:t>
      </w:r>
      <w:r w:rsidRPr="00EE168E">
        <w:t>Media reported killings of LGBTI community members in October and November.</w:t>
      </w:r>
      <w:r>
        <w:t xml:space="preserve"> </w:t>
      </w:r>
      <w:r w:rsidRPr="00EE168E">
        <w:t xml:space="preserve"> On October 27, </w:t>
      </w:r>
      <w:proofErr w:type="spellStart"/>
      <w:r w:rsidRPr="00EE168E">
        <w:t>Anahy</w:t>
      </w:r>
      <w:proofErr w:type="spellEnd"/>
      <w:r w:rsidRPr="00EE168E">
        <w:t xml:space="preserve"> Rivas, a 27-year-old transwoman, was killed after being assaulted and dragged behind a car. Jade Diaz, a transwoman who disappeared on November 6, was assaulted prior to her killing. </w:t>
      </w:r>
      <w:r>
        <w:t xml:space="preserve"> </w:t>
      </w:r>
      <w:r w:rsidRPr="00EE168E">
        <w:t xml:space="preserve">Her body was found submerged in a river. </w:t>
      </w:r>
      <w:r>
        <w:t xml:space="preserve"> </w:t>
      </w:r>
      <w:r w:rsidRPr="00EE168E">
        <w:t xml:space="preserve">On November 16, Manuel Pineda, known as Victoria, was beaten to death and her body left naked in the street in Francisco Menendez, </w:t>
      </w:r>
      <w:proofErr w:type="spellStart"/>
      <w:r w:rsidRPr="00EE168E">
        <w:t>Ahuachapan</w:t>
      </w:r>
      <w:proofErr w:type="spellEnd"/>
      <w:r w:rsidRPr="00EE168E">
        <w:t xml:space="preserve"> Department. </w:t>
      </w:r>
      <w:r>
        <w:t xml:space="preserve"> </w:t>
      </w:r>
      <w:r w:rsidRPr="00EE168E">
        <w:t>Uncensored photographs of the body were circulated on social media.</w:t>
      </w:r>
      <w:r>
        <w:t>”)</w:t>
      </w:r>
      <w:r w:rsidR="0058571B">
        <w:t>.</w:t>
      </w:r>
    </w:p>
  </w:footnote>
  <w:footnote w:id="36">
    <w:p w14:paraId="5F500C5C" w14:textId="77777777" w:rsidR="00E66F07" w:rsidRDefault="00E66F07" w:rsidP="00E66F07">
      <w:pPr>
        <w:pStyle w:val="FootnoteText"/>
      </w:pPr>
      <w:r>
        <w:rPr>
          <w:rStyle w:val="FootnoteReference"/>
        </w:rPr>
        <w:footnoteRef/>
      </w:r>
      <w:r>
        <w:t xml:space="preserve"> </w:t>
      </w:r>
      <w:r>
        <w:tab/>
      </w:r>
      <w:r w:rsidRPr="0044764B">
        <w:t xml:space="preserve">See </w:t>
      </w:r>
      <w:r>
        <w:t xml:space="preserve">Department of State, </w:t>
      </w:r>
      <w:r w:rsidRPr="0044764B">
        <w:rPr>
          <w:i/>
        </w:rPr>
        <w:t>2019 Country Reports on Human Rights Practices: Guatemala</w:t>
      </w:r>
      <w:r w:rsidRPr="00EE168E">
        <w:t xml:space="preserve"> </w:t>
      </w:r>
      <w:r w:rsidRPr="0044764B">
        <w:t>§</w:t>
      </w:r>
      <w:r w:rsidRPr="00EE168E">
        <w:t xml:space="preserve"> 6</w:t>
      </w:r>
      <w:r w:rsidRPr="0044764B">
        <w:t xml:space="preserve"> </w:t>
      </w:r>
      <w:hyperlink r:id="rId13" w:history="1">
        <w:r w:rsidRPr="0044764B">
          <w:t>https://www.state.gov/reports/2019-country-reports-on-human-rights-practices/guatemala/</w:t>
        </w:r>
      </w:hyperlink>
      <w:r w:rsidRPr="0044764B">
        <w:t xml:space="preserve"> </w:t>
      </w:r>
      <w:r>
        <w:t>(“</w:t>
      </w:r>
      <w:r w:rsidRPr="0044764B">
        <w:t xml:space="preserve">According to LGBTI activists, gay and transgender individuals often experienced police abuse. </w:t>
      </w:r>
      <w:r>
        <w:t xml:space="preserve"> </w:t>
      </w:r>
      <w:r w:rsidRPr="0044764B">
        <w:t>The local NGO National Network for Sexual Diversity and HIV and the Lambda Association reported that as of October, a total of 20 LGBTI persons had been killed, including several transgender individuals the NGOs believed were targeted due to their sexual orientation.</w:t>
      </w:r>
      <w:r>
        <w:t xml:space="preserve"> </w:t>
      </w:r>
      <w:r w:rsidRPr="0044764B">
        <w:t xml:space="preserve"> Several were killed in their homes or at LGBTI spaces in Guatemala City. </w:t>
      </w:r>
      <w:r>
        <w:t xml:space="preserve"> </w:t>
      </w:r>
      <w:r w:rsidRPr="0044764B">
        <w:t>LGBTI groups claimed women experienced specific forms of discrimination, such as forced marriages and forced pregna</w:t>
      </w:r>
      <w:r>
        <w:t>ncies through ‘corrective rape,’</w:t>
      </w:r>
      <w:r w:rsidRPr="0044764B">
        <w:t xml:space="preserve"> although these incidents were rarely, if ever, reported to authorities. </w:t>
      </w:r>
      <w:r>
        <w:t xml:space="preserve"> </w:t>
      </w:r>
      <w:r w:rsidRPr="0044764B">
        <w:t>In addition, transgender individuals faced severe discrimination.”).</w:t>
      </w:r>
    </w:p>
  </w:footnote>
  <w:footnote w:id="37">
    <w:p w14:paraId="1CF7070E" w14:textId="77777777" w:rsidR="00E66F07" w:rsidRDefault="00E66F07" w:rsidP="00E66F07">
      <w:pPr>
        <w:pStyle w:val="FootnoteText"/>
      </w:pPr>
      <w:r>
        <w:rPr>
          <w:rStyle w:val="FootnoteReference"/>
        </w:rPr>
        <w:footnoteRef/>
      </w:r>
      <w:r>
        <w:t xml:space="preserve"> </w:t>
      </w:r>
      <w:r>
        <w:tab/>
      </w:r>
      <w:r w:rsidRPr="0044764B">
        <w:t xml:space="preserve">See </w:t>
      </w:r>
      <w:r>
        <w:t xml:space="preserve">Department of State, </w:t>
      </w:r>
      <w:r w:rsidRPr="0044764B">
        <w:rPr>
          <w:i/>
        </w:rPr>
        <w:t xml:space="preserve">2019 Country Reports on Human Rights Practices: </w:t>
      </w:r>
      <w:r>
        <w:rPr>
          <w:i/>
        </w:rPr>
        <w:t>Honduras</w:t>
      </w:r>
      <w:r w:rsidRPr="00EE168E">
        <w:t xml:space="preserve"> </w:t>
      </w:r>
      <w:r w:rsidRPr="0044764B">
        <w:t>§</w:t>
      </w:r>
      <w:r w:rsidRPr="00EE168E">
        <w:t xml:space="preserve"> 6</w:t>
      </w:r>
      <w:r>
        <w:t xml:space="preserve"> </w:t>
      </w:r>
      <w:hyperlink r:id="rId14" w:history="1">
        <w:r>
          <w:rPr>
            <w:rStyle w:val="Hyperlink"/>
          </w:rPr>
          <w:t>https://www.state.gov/reports/2019-country-reports-on-human-rights-practices/honduras/</w:t>
        </w:r>
      </w:hyperlink>
      <w:r>
        <w:t xml:space="preserve"> (“[S]</w:t>
      </w:r>
      <w:proofErr w:type="spellStart"/>
      <w:r w:rsidRPr="0044764B">
        <w:t>ocial</w:t>
      </w:r>
      <w:proofErr w:type="spellEnd"/>
      <w:r w:rsidRPr="0044764B">
        <w:t xml:space="preserve"> discrimination against LGBTI persons persisted, as did physical violence. </w:t>
      </w:r>
      <w:r>
        <w:t xml:space="preserve"> </w:t>
      </w:r>
      <w:r w:rsidRPr="0044764B">
        <w:t xml:space="preserve">Local media and LGBTI human rights NGOs reported an increase in the number of killings of LGBTI persons during the year. </w:t>
      </w:r>
      <w:r>
        <w:t xml:space="preserve"> </w:t>
      </w:r>
      <w:r w:rsidRPr="0044764B">
        <w:t>Impunity for such crimes was a problem, as was the impunity rate for all types of crime.</w:t>
      </w:r>
      <w:r>
        <w:t xml:space="preserve"> </w:t>
      </w:r>
      <w:r w:rsidRPr="0044764B">
        <w:t xml:space="preserve"> According to the Violence Observatory, of the 317 cases since 2009 of hate crimes and violence against members of the LGBTI population, 92 percent had gone unpunished</w:t>
      </w:r>
      <w:r>
        <w:t>.”).</w:t>
      </w:r>
    </w:p>
  </w:footnote>
  <w:footnote w:id="38">
    <w:p w14:paraId="4BD67190" w14:textId="341562C0" w:rsidR="00E66F07" w:rsidRPr="000D5142" w:rsidRDefault="00E66F07" w:rsidP="00E66F07">
      <w:pPr>
        <w:pStyle w:val="FootnoteText"/>
      </w:pPr>
      <w:r>
        <w:rPr>
          <w:rStyle w:val="FootnoteReference"/>
        </w:rPr>
        <w:footnoteRef/>
      </w:r>
      <w:r>
        <w:t xml:space="preserve"> </w:t>
      </w:r>
      <w:r>
        <w:tab/>
        <w:t xml:space="preserve">Antonia </w:t>
      </w:r>
      <w:proofErr w:type="spellStart"/>
      <w:r>
        <w:t>Zapulla</w:t>
      </w:r>
      <w:proofErr w:type="spellEnd"/>
      <w:r>
        <w:t xml:space="preserve">, </w:t>
      </w:r>
      <w:r>
        <w:rPr>
          <w:i/>
        </w:rPr>
        <w:t>Forgotten twice: the untold story of LGBT refugees</w:t>
      </w:r>
      <w:r>
        <w:t xml:space="preserve">, World Economic Forum, Jan.19, 2018, </w:t>
      </w:r>
      <w:hyperlink r:id="rId15" w:history="1">
        <w:r w:rsidRPr="000D5142">
          <w:rPr>
            <w:szCs w:val="24"/>
            <w:u w:val="single"/>
          </w:rPr>
          <w:t>https://www.weforum.org/agenda/2018/01/forgotten-twice-lgbt-refugees/</w:t>
        </w:r>
      </w:hyperlink>
      <w:r w:rsidR="0058571B" w:rsidRPr="0058571B">
        <w:rPr>
          <w:szCs w:val="24"/>
        </w:rPr>
        <w:t>.</w:t>
      </w:r>
    </w:p>
  </w:footnote>
  <w:footnote w:id="39">
    <w:p w14:paraId="7CCF741B" w14:textId="337A1EEA" w:rsidR="00E66F07" w:rsidRDefault="00E66F07" w:rsidP="00E66F07">
      <w:pPr>
        <w:pStyle w:val="FootnoteText"/>
      </w:pPr>
      <w:r>
        <w:rPr>
          <w:rStyle w:val="FootnoteReference"/>
        </w:rPr>
        <w:footnoteRef/>
      </w:r>
      <w:r>
        <w:t xml:space="preserve"> </w:t>
      </w:r>
      <w:r>
        <w:tab/>
        <w:t xml:space="preserve">Jose A. Del Real, </w:t>
      </w:r>
      <w:r w:rsidRPr="00D26348">
        <w:rPr>
          <w:i/>
        </w:rPr>
        <w:t>‘They Were Abusing Us the Whole Way’: A Tough Path for Gay and Trans Migrants</w:t>
      </w:r>
      <w:r>
        <w:t>, The New York Times, July 11, 2018,</w:t>
      </w:r>
      <w:r w:rsidRPr="00D26348">
        <w:rPr>
          <w:sz w:val="16"/>
        </w:rPr>
        <w:t xml:space="preserve"> </w:t>
      </w:r>
      <w:hyperlink r:id="rId16" w:history="1">
        <w:r w:rsidRPr="00D26348">
          <w:rPr>
            <w:szCs w:val="24"/>
            <w:u w:val="single"/>
          </w:rPr>
          <w:t>https://www.nytimes.com/2018/07/11/us/lgbt-migrants-abuse.html</w:t>
        </w:r>
      </w:hyperlink>
      <w:r w:rsidR="0058571B" w:rsidRPr="0058571B">
        <w:rPr>
          <w:szCs w:val="24"/>
        </w:rPr>
        <w:t>.</w:t>
      </w:r>
    </w:p>
  </w:footnote>
  <w:footnote w:id="40">
    <w:p w14:paraId="3DA624FF" w14:textId="6F00D591" w:rsidR="00E66F07" w:rsidRDefault="00E66F07" w:rsidP="00E66F07">
      <w:pPr>
        <w:pStyle w:val="FootnoteText"/>
      </w:pPr>
      <w:r>
        <w:rPr>
          <w:rStyle w:val="FootnoteReference"/>
        </w:rPr>
        <w:footnoteRef/>
      </w:r>
      <w:r>
        <w:t xml:space="preserve"> </w:t>
      </w:r>
      <w:r>
        <w:tab/>
        <w:t xml:space="preserve">The Conversation, LGBTQ caravan migrants may have to prove their gender or sexual identity at US border, Nov. 30, 2018, </w:t>
      </w:r>
      <w:hyperlink r:id="rId17" w:history="1">
        <w:r w:rsidRPr="0038116F">
          <w:rPr>
            <w:szCs w:val="24"/>
            <w:u w:val="single"/>
          </w:rPr>
          <w:t>https://theconversation.com/lgbtq-caravan-migrants-may-have-to-prove-their-gender-or-sexual-identity-at-us-border-107868</w:t>
        </w:r>
      </w:hyperlink>
      <w:r w:rsidR="0058571B" w:rsidRPr="0058571B">
        <w:rPr>
          <w:szCs w:val="24"/>
        </w:rPr>
        <w:t>.</w:t>
      </w:r>
    </w:p>
  </w:footnote>
  <w:footnote w:id="41">
    <w:p w14:paraId="5F0C9F2F" w14:textId="77777777" w:rsidR="008736E0" w:rsidRDefault="008736E0">
      <w:pPr>
        <w:pStyle w:val="FootnoteText"/>
      </w:pPr>
      <w:r>
        <w:rPr>
          <w:rStyle w:val="FootnoteReference"/>
        </w:rPr>
        <w:footnoteRef/>
      </w:r>
      <w:r>
        <w:t xml:space="preserve"> </w:t>
      </w:r>
      <w:r>
        <w:tab/>
        <w:t>Proposed Rule 208.15(a)(1); Notice at 79.</w:t>
      </w:r>
    </w:p>
  </w:footnote>
  <w:footnote w:id="42">
    <w:p w14:paraId="0243AB97" w14:textId="77777777" w:rsidR="008736E0" w:rsidRDefault="008736E0">
      <w:pPr>
        <w:pStyle w:val="FootnoteText"/>
      </w:pPr>
      <w:r>
        <w:rPr>
          <w:rStyle w:val="FootnoteReference"/>
        </w:rPr>
        <w:footnoteRef/>
      </w:r>
      <w:r>
        <w:t xml:space="preserve"> </w:t>
      </w:r>
      <w:r>
        <w:tab/>
        <w:t>Proposed Rule 208.15(a)(2); Notice at 79.</w:t>
      </w:r>
    </w:p>
  </w:footnote>
  <w:footnote w:id="43">
    <w:p w14:paraId="04FB6A40" w14:textId="0E0DFE5C" w:rsidR="008736E0" w:rsidRDefault="008736E0">
      <w:pPr>
        <w:pStyle w:val="FootnoteText"/>
      </w:pPr>
      <w:r>
        <w:rPr>
          <w:rStyle w:val="FootnoteReference"/>
        </w:rPr>
        <w:footnoteRef/>
      </w:r>
      <w:r>
        <w:t xml:space="preserve"> </w:t>
      </w:r>
      <w:r>
        <w:tab/>
      </w:r>
      <w:proofErr w:type="gramStart"/>
      <w:r w:rsidRPr="00F87EBF">
        <w:rPr>
          <w:i/>
        </w:rPr>
        <w:t xml:space="preserve">See </w:t>
      </w:r>
      <w:r w:rsidRPr="00F87EBF">
        <w:t xml:space="preserve"> DOJ</w:t>
      </w:r>
      <w:proofErr w:type="gramEnd"/>
      <w:r w:rsidRPr="00F87EBF">
        <w:t xml:space="preserve">, Case Priorities and Immigration Court Performance Measures, Jan. 17, 2018, </w:t>
      </w:r>
      <w:hyperlink r:id="rId18" w:history="1">
        <w:r w:rsidRPr="00F87EBF">
          <w:rPr>
            <w:rStyle w:val="Hyperlink"/>
          </w:rPr>
          <w:t>https://www.justice.gov/eoir/page/file/1026721/download</w:t>
        </w:r>
      </w:hyperlink>
      <w:r w:rsidR="0058571B" w:rsidRPr="0058571B">
        <w:rPr>
          <w:rStyle w:val="Hyperlink"/>
          <w:u w:val="none"/>
        </w:rPr>
        <w:t>.</w:t>
      </w:r>
    </w:p>
  </w:footnote>
  <w:footnote w:id="44">
    <w:p w14:paraId="5FFDDF3A" w14:textId="7DC0E2FE" w:rsidR="008736E0" w:rsidRDefault="008736E0">
      <w:pPr>
        <w:pStyle w:val="FootnoteText"/>
      </w:pPr>
      <w:r>
        <w:rPr>
          <w:rStyle w:val="FootnoteReference"/>
        </w:rPr>
        <w:footnoteRef/>
      </w:r>
      <w:r>
        <w:t xml:space="preserve"> We also note that the costs and benefits section does not address the cost to the reputation of the United States, or the cost to us when we lose the talent, diversity, and innovation brought to us every day by asylees.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15:restartNumberingAfterBreak="0">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02B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557F52"/>
    <w:multiLevelType w:val="hybridMultilevel"/>
    <w:tmpl w:val="80A6F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92610"/>
    <w:multiLevelType w:val="multilevel"/>
    <w:tmpl w:val="D754391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2" w15:restartNumberingAfterBreak="0">
    <w:nsid w:val="2EF4039B"/>
    <w:multiLevelType w:val="multilevel"/>
    <w:tmpl w:val="EA94BDCC"/>
    <w:name w:val="KE General (1)-Scheme 1"/>
    <w:lvl w:ilvl="0">
      <w:start w:val="1"/>
      <w:numFmt w:val="decimal"/>
      <w:lvlText w:val="%1."/>
      <w:lvlJc w:val="left"/>
      <w:pPr>
        <w:ind w:left="0" w:firstLine="0"/>
      </w:pPr>
      <w:rPr>
        <w:rFonts w:hint="default"/>
        <w:b/>
        <w:i w:val="0"/>
        <w:caps w:val="0"/>
        <w:color w:val="010000"/>
        <w:u w:val="none"/>
      </w:rPr>
    </w:lvl>
    <w:lvl w:ilvl="1">
      <w:start w:val="1"/>
      <w:numFmt w:val="lowerLetter"/>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3"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622F02"/>
    <w:multiLevelType w:val="multilevel"/>
    <w:tmpl w:val="2BB659D6"/>
    <w:name w:val="KE General (1)-Scheme 12"/>
    <w:lvl w:ilvl="0">
      <w:start w:val="1"/>
      <w:numFmt w:val="upperLetter"/>
      <w:pStyle w:val="Heading2"/>
      <w:lvlText w:val="%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607F46"/>
    <w:multiLevelType w:val="multilevel"/>
    <w:tmpl w:val="E174C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FC6619"/>
    <w:multiLevelType w:val="multilevel"/>
    <w:tmpl w:val="2466E9C8"/>
    <w:name w:val="KE General (1)-Scheme 122"/>
    <w:lvl w:ilvl="0">
      <w:start w:val="1"/>
      <w:numFmt w:val="upperRoman"/>
      <w:pStyle w:val="Heading1"/>
      <w:lvlText w:val="%1."/>
      <w:lvlJc w:val="right"/>
      <w:pPr>
        <w:ind w:left="720"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5"/>
  </w:num>
  <w:num w:numId="15">
    <w:abstractNumId w:val="14"/>
  </w:num>
  <w:num w:numId="16">
    <w:abstractNumId w:val="18"/>
  </w:num>
  <w:num w:numId="17">
    <w:abstractNumId w:val="11"/>
  </w:num>
  <w:num w:numId="18">
    <w:abstractNumId w:val="17"/>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AppliedDocIDOnNew" w:val="Yes"/>
    <w:docVar w:name="DocIDLoc&amp;Size" w:val="0^8"/>
    <w:docVar w:name="FirmDocID" w:val="S00001100"/>
  </w:docVars>
  <w:rsids>
    <w:rsidRoot w:val="0010653C"/>
    <w:rsid w:val="000130B8"/>
    <w:rsid w:val="00020011"/>
    <w:rsid w:val="00020198"/>
    <w:rsid w:val="0002697D"/>
    <w:rsid w:val="00032AAA"/>
    <w:rsid w:val="00034B87"/>
    <w:rsid w:val="00035517"/>
    <w:rsid w:val="00043B2F"/>
    <w:rsid w:val="00052307"/>
    <w:rsid w:val="00054F79"/>
    <w:rsid w:val="00056778"/>
    <w:rsid w:val="000568CD"/>
    <w:rsid w:val="00064FFF"/>
    <w:rsid w:val="00066163"/>
    <w:rsid w:val="0006657A"/>
    <w:rsid w:val="00072117"/>
    <w:rsid w:val="0007311B"/>
    <w:rsid w:val="000734B7"/>
    <w:rsid w:val="0007766D"/>
    <w:rsid w:val="00077EF5"/>
    <w:rsid w:val="00077FC8"/>
    <w:rsid w:val="00093292"/>
    <w:rsid w:val="00093512"/>
    <w:rsid w:val="00095572"/>
    <w:rsid w:val="00097655"/>
    <w:rsid w:val="000A0035"/>
    <w:rsid w:val="000A6850"/>
    <w:rsid w:val="000B3507"/>
    <w:rsid w:val="000B7F6F"/>
    <w:rsid w:val="000C1CE3"/>
    <w:rsid w:val="000C7029"/>
    <w:rsid w:val="000D039D"/>
    <w:rsid w:val="000D2B5C"/>
    <w:rsid w:val="000D5142"/>
    <w:rsid w:val="000E2249"/>
    <w:rsid w:val="000E7E4C"/>
    <w:rsid w:val="000F6ACB"/>
    <w:rsid w:val="001006F8"/>
    <w:rsid w:val="00102435"/>
    <w:rsid w:val="00102CA7"/>
    <w:rsid w:val="0010653C"/>
    <w:rsid w:val="00115C49"/>
    <w:rsid w:val="00121DFD"/>
    <w:rsid w:val="00124CB5"/>
    <w:rsid w:val="00135B1A"/>
    <w:rsid w:val="001418E2"/>
    <w:rsid w:val="00145896"/>
    <w:rsid w:val="00150213"/>
    <w:rsid w:val="00150C37"/>
    <w:rsid w:val="00162125"/>
    <w:rsid w:val="00165721"/>
    <w:rsid w:val="001729D5"/>
    <w:rsid w:val="00173312"/>
    <w:rsid w:val="001745C5"/>
    <w:rsid w:val="0019627F"/>
    <w:rsid w:val="001B037B"/>
    <w:rsid w:val="001B723A"/>
    <w:rsid w:val="001D08BE"/>
    <w:rsid w:val="001D7283"/>
    <w:rsid w:val="001E7365"/>
    <w:rsid w:val="00201AE3"/>
    <w:rsid w:val="00204939"/>
    <w:rsid w:val="00207097"/>
    <w:rsid w:val="00210132"/>
    <w:rsid w:val="002145BE"/>
    <w:rsid w:val="00214C7E"/>
    <w:rsid w:val="00216167"/>
    <w:rsid w:val="002508EC"/>
    <w:rsid w:val="00267A57"/>
    <w:rsid w:val="00271209"/>
    <w:rsid w:val="0027541A"/>
    <w:rsid w:val="00277EFF"/>
    <w:rsid w:val="00283237"/>
    <w:rsid w:val="0029664C"/>
    <w:rsid w:val="00297094"/>
    <w:rsid w:val="002B0EA4"/>
    <w:rsid w:val="002B4DA4"/>
    <w:rsid w:val="002D41B7"/>
    <w:rsid w:val="002D5062"/>
    <w:rsid w:val="002E3754"/>
    <w:rsid w:val="002E7F1D"/>
    <w:rsid w:val="002F169F"/>
    <w:rsid w:val="002F3267"/>
    <w:rsid w:val="00300AB7"/>
    <w:rsid w:val="00302A35"/>
    <w:rsid w:val="00313037"/>
    <w:rsid w:val="00314CBF"/>
    <w:rsid w:val="00320CFD"/>
    <w:rsid w:val="0032357D"/>
    <w:rsid w:val="0032407D"/>
    <w:rsid w:val="0033021C"/>
    <w:rsid w:val="00330EA0"/>
    <w:rsid w:val="00334180"/>
    <w:rsid w:val="003423B2"/>
    <w:rsid w:val="0034249E"/>
    <w:rsid w:val="00344B64"/>
    <w:rsid w:val="00347004"/>
    <w:rsid w:val="00352F4C"/>
    <w:rsid w:val="003545F8"/>
    <w:rsid w:val="00363D18"/>
    <w:rsid w:val="0036409F"/>
    <w:rsid w:val="00367559"/>
    <w:rsid w:val="0036780E"/>
    <w:rsid w:val="00371CC1"/>
    <w:rsid w:val="0037761D"/>
    <w:rsid w:val="0038116F"/>
    <w:rsid w:val="00387DDB"/>
    <w:rsid w:val="00390CB5"/>
    <w:rsid w:val="00396C96"/>
    <w:rsid w:val="003A279C"/>
    <w:rsid w:val="003B4AB9"/>
    <w:rsid w:val="003B6C79"/>
    <w:rsid w:val="003C3E24"/>
    <w:rsid w:val="003D13C5"/>
    <w:rsid w:val="003D26C4"/>
    <w:rsid w:val="003D79F6"/>
    <w:rsid w:val="003E40D7"/>
    <w:rsid w:val="003E65A3"/>
    <w:rsid w:val="00413BD2"/>
    <w:rsid w:val="00424794"/>
    <w:rsid w:val="004254EA"/>
    <w:rsid w:val="00433A33"/>
    <w:rsid w:val="00433D49"/>
    <w:rsid w:val="004368B2"/>
    <w:rsid w:val="0043790F"/>
    <w:rsid w:val="00443080"/>
    <w:rsid w:val="0044764B"/>
    <w:rsid w:val="00450FA1"/>
    <w:rsid w:val="00452D03"/>
    <w:rsid w:val="00453951"/>
    <w:rsid w:val="00453AEB"/>
    <w:rsid w:val="00454925"/>
    <w:rsid w:val="00457075"/>
    <w:rsid w:val="00467FA4"/>
    <w:rsid w:val="00470197"/>
    <w:rsid w:val="004703F1"/>
    <w:rsid w:val="0048174B"/>
    <w:rsid w:val="004B7D57"/>
    <w:rsid w:val="004C61B9"/>
    <w:rsid w:val="004D0B4B"/>
    <w:rsid w:val="004D2A3D"/>
    <w:rsid w:val="004D7327"/>
    <w:rsid w:val="004D7A03"/>
    <w:rsid w:val="004E02E7"/>
    <w:rsid w:val="004E1575"/>
    <w:rsid w:val="004E1D3B"/>
    <w:rsid w:val="004F4A9A"/>
    <w:rsid w:val="00515CA7"/>
    <w:rsid w:val="0051703E"/>
    <w:rsid w:val="0052143F"/>
    <w:rsid w:val="0052505C"/>
    <w:rsid w:val="00527470"/>
    <w:rsid w:val="0054420C"/>
    <w:rsid w:val="00546C0A"/>
    <w:rsid w:val="00546C50"/>
    <w:rsid w:val="00551D6B"/>
    <w:rsid w:val="005531D8"/>
    <w:rsid w:val="00554898"/>
    <w:rsid w:val="0055749F"/>
    <w:rsid w:val="00560017"/>
    <w:rsid w:val="00561CCB"/>
    <w:rsid w:val="00561DD6"/>
    <w:rsid w:val="00562123"/>
    <w:rsid w:val="0058571B"/>
    <w:rsid w:val="005859E0"/>
    <w:rsid w:val="005A31F5"/>
    <w:rsid w:val="005B31AF"/>
    <w:rsid w:val="005E42D5"/>
    <w:rsid w:val="00610B42"/>
    <w:rsid w:val="006301EC"/>
    <w:rsid w:val="006347D8"/>
    <w:rsid w:val="00635F95"/>
    <w:rsid w:val="00637565"/>
    <w:rsid w:val="00652FBE"/>
    <w:rsid w:val="00673222"/>
    <w:rsid w:val="006823F9"/>
    <w:rsid w:val="006838CC"/>
    <w:rsid w:val="00684A5C"/>
    <w:rsid w:val="006866D0"/>
    <w:rsid w:val="006948E6"/>
    <w:rsid w:val="006A0097"/>
    <w:rsid w:val="006A4E94"/>
    <w:rsid w:val="006B6BFF"/>
    <w:rsid w:val="006C0A5B"/>
    <w:rsid w:val="006C6564"/>
    <w:rsid w:val="006D047E"/>
    <w:rsid w:val="006D21E1"/>
    <w:rsid w:val="006D4630"/>
    <w:rsid w:val="006D5A04"/>
    <w:rsid w:val="006D6170"/>
    <w:rsid w:val="006D650C"/>
    <w:rsid w:val="006E2A1A"/>
    <w:rsid w:val="006F08A2"/>
    <w:rsid w:val="006F0DA9"/>
    <w:rsid w:val="006F4096"/>
    <w:rsid w:val="00701A89"/>
    <w:rsid w:val="00705B72"/>
    <w:rsid w:val="00714E48"/>
    <w:rsid w:val="00723FE6"/>
    <w:rsid w:val="00724081"/>
    <w:rsid w:val="007343FF"/>
    <w:rsid w:val="00743CE8"/>
    <w:rsid w:val="007468BD"/>
    <w:rsid w:val="0075559E"/>
    <w:rsid w:val="00757DBF"/>
    <w:rsid w:val="0076265A"/>
    <w:rsid w:val="007715E7"/>
    <w:rsid w:val="0077239D"/>
    <w:rsid w:val="007837BF"/>
    <w:rsid w:val="00793B7D"/>
    <w:rsid w:val="00797BD9"/>
    <w:rsid w:val="007A4782"/>
    <w:rsid w:val="007A4B28"/>
    <w:rsid w:val="007A5952"/>
    <w:rsid w:val="007B1185"/>
    <w:rsid w:val="007B7458"/>
    <w:rsid w:val="007D1F9A"/>
    <w:rsid w:val="007D7325"/>
    <w:rsid w:val="007F6415"/>
    <w:rsid w:val="00802DB0"/>
    <w:rsid w:val="008149D0"/>
    <w:rsid w:val="00815C59"/>
    <w:rsid w:val="0082176D"/>
    <w:rsid w:val="008319BE"/>
    <w:rsid w:val="00832700"/>
    <w:rsid w:val="00834DF8"/>
    <w:rsid w:val="008379C1"/>
    <w:rsid w:val="00844594"/>
    <w:rsid w:val="008449D1"/>
    <w:rsid w:val="00844DE5"/>
    <w:rsid w:val="00845924"/>
    <w:rsid w:val="00847602"/>
    <w:rsid w:val="008525CD"/>
    <w:rsid w:val="00862C49"/>
    <w:rsid w:val="00864A34"/>
    <w:rsid w:val="00870CFE"/>
    <w:rsid w:val="008736E0"/>
    <w:rsid w:val="00875CAF"/>
    <w:rsid w:val="008816F6"/>
    <w:rsid w:val="008A3A22"/>
    <w:rsid w:val="008A4F8B"/>
    <w:rsid w:val="008B0F06"/>
    <w:rsid w:val="008B67CE"/>
    <w:rsid w:val="008C7C48"/>
    <w:rsid w:val="008E01E0"/>
    <w:rsid w:val="008E243C"/>
    <w:rsid w:val="008E62BA"/>
    <w:rsid w:val="008F2F27"/>
    <w:rsid w:val="008F386B"/>
    <w:rsid w:val="00906276"/>
    <w:rsid w:val="009153A1"/>
    <w:rsid w:val="00930317"/>
    <w:rsid w:val="00934ACB"/>
    <w:rsid w:val="00942028"/>
    <w:rsid w:val="00947D41"/>
    <w:rsid w:val="009530BF"/>
    <w:rsid w:val="00955EFF"/>
    <w:rsid w:val="00960A55"/>
    <w:rsid w:val="009751D3"/>
    <w:rsid w:val="009828C5"/>
    <w:rsid w:val="00982BE5"/>
    <w:rsid w:val="00985B3B"/>
    <w:rsid w:val="00986292"/>
    <w:rsid w:val="00990F4A"/>
    <w:rsid w:val="009A51B8"/>
    <w:rsid w:val="009A60BB"/>
    <w:rsid w:val="009B0370"/>
    <w:rsid w:val="009B06E2"/>
    <w:rsid w:val="009C406A"/>
    <w:rsid w:val="009D6359"/>
    <w:rsid w:val="009E28F4"/>
    <w:rsid w:val="009E6DAD"/>
    <w:rsid w:val="009F2F88"/>
    <w:rsid w:val="009F3953"/>
    <w:rsid w:val="009F708B"/>
    <w:rsid w:val="00A01136"/>
    <w:rsid w:val="00A02977"/>
    <w:rsid w:val="00A12F23"/>
    <w:rsid w:val="00A17ACA"/>
    <w:rsid w:val="00A17CAB"/>
    <w:rsid w:val="00A25CD0"/>
    <w:rsid w:val="00A30162"/>
    <w:rsid w:val="00A3342F"/>
    <w:rsid w:val="00A33644"/>
    <w:rsid w:val="00A40C95"/>
    <w:rsid w:val="00A538BA"/>
    <w:rsid w:val="00A60276"/>
    <w:rsid w:val="00A702E5"/>
    <w:rsid w:val="00A7351F"/>
    <w:rsid w:val="00A76C3C"/>
    <w:rsid w:val="00A778E8"/>
    <w:rsid w:val="00A8028F"/>
    <w:rsid w:val="00A90F07"/>
    <w:rsid w:val="00AA407C"/>
    <w:rsid w:val="00AA4309"/>
    <w:rsid w:val="00AA7D45"/>
    <w:rsid w:val="00AB05C8"/>
    <w:rsid w:val="00AB07B9"/>
    <w:rsid w:val="00AC5AB2"/>
    <w:rsid w:val="00AD3B74"/>
    <w:rsid w:val="00AD3FB5"/>
    <w:rsid w:val="00AE2C42"/>
    <w:rsid w:val="00AE3EE9"/>
    <w:rsid w:val="00AE46C1"/>
    <w:rsid w:val="00AF0B78"/>
    <w:rsid w:val="00B00410"/>
    <w:rsid w:val="00B03229"/>
    <w:rsid w:val="00B10F7F"/>
    <w:rsid w:val="00B21A6D"/>
    <w:rsid w:val="00B4643A"/>
    <w:rsid w:val="00B52EDD"/>
    <w:rsid w:val="00B532A5"/>
    <w:rsid w:val="00B55333"/>
    <w:rsid w:val="00B612F9"/>
    <w:rsid w:val="00B65075"/>
    <w:rsid w:val="00B72164"/>
    <w:rsid w:val="00B77B6B"/>
    <w:rsid w:val="00B83676"/>
    <w:rsid w:val="00B83C73"/>
    <w:rsid w:val="00B85435"/>
    <w:rsid w:val="00B8622F"/>
    <w:rsid w:val="00B8626C"/>
    <w:rsid w:val="00B8717E"/>
    <w:rsid w:val="00B957BD"/>
    <w:rsid w:val="00B968DD"/>
    <w:rsid w:val="00BA679A"/>
    <w:rsid w:val="00BC41E6"/>
    <w:rsid w:val="00BD1A64"/>
    <w:rsid w:val="00BD3783"/>
    <w:rsid w:val="00BD5DF9"/>
    <w:rsid w:val="00BE5CDA"/>
    <w:rsid w:val="00BF4198"/>
    <w:rsid w:val="00BF7B3A"/>
    <w:rsid w:val="00BF7D85"/>
    <w:rsid w:val="00C0117F"/>
    <w:rsid w:val="00C01474"/>
    <w:rsid w:val="00C0646D"/>
    <w:rsid w:val="00C07BFC"/>
    <w:rsid w:val="00C10FE7"/>
    <w:rsid w:val="00C13CFC"/>
    <w:rsid w:val="00C16E21"/>
    <w:rsid w:val="00C208DC"/>
    <w:rsid w:val="00C344DC"/>
    <w:rsid w:val="00C40848"/>
    <w:rsid w:val="00C448A0"/>
    <w:rsid w:val="00C45F9F"/>
    <w:rsid w:val="00C46BE6"/>
    <w:rsid w:val="00C5244B"/>
    <w:rsid w:val="00C52C1F"/>
    <w:rsid w:val="00C53DB9"/>
    <w:rsid w:val="00C54E62"/>
    <w:rsid w:val="00C55B81"/>
    <w:rsid w:val="00C62BD4"/>
    <w:rsid w:val="00C631D1"/>
    <w:rsid w:val="00C63655"/>
    <w:rsid w:val="00C7091A"/>
    <w:rsid w:val="00C7137E"/>
    <w:rsid w:val="00C73FFE"/>
    <w:rsid w:val="00C76875"/>
    <w:rsid w:val="00C83F78"/>
    <w:rsid w:val="00C923B6"/>
    <w:rsid w:val="00C94811"/>
    <w:rsid w:val="00CB0ABC"/>
    <w:rsid w:val="00CB2E16"/>
    <w:rsid w:val="00CB7AAF"/>
    <w:rsid w:val="00CC266C"/>
    <w:rsid w:val="00CC5FF7"/>
    <w:rsid w:val="00CD0CA7"/>
    <w:rsid w:val="00CE49DE"/>
    <w:rsid w:val="00CF0C73"/>
    <w:rsid w:val="00CF23AA"/>
    <w:rsid w:val="00CF397B"/>
    <w:rsid w:val="00CF795A"/>
    <w:rsid w:val="00D00D96"/>
    <w:rsid w:val="00D049D1"/>
    <w:rsid w:val="00D078A5"/>
    <w:rsid w:val="00D11499"/>
    <w:rsid w:val="00D20411"/>
    <w:rsid w:val="00D2338C"/>
    <w:rsid w:val="00D26348"/>
    <w:rsid w:val="00D37D8F"/>
    <w:rsid w:val="00D43280"/>
    <w:rsid w:val="00D44409"/>
    <w:rsid w:val="00D46979"/>
    <w:rsid w:val="00D50EBA"/>
    <w:rsid w:val="00D51189"/>
    <w:rsid w:val="00D5443F"/>
    <w:rsid w:val="00D57771"/>
    <w:rsid w:val="00D6673E"/>
    <w:rsid w:val="00D72F01"/>
    <w:rsid w:val="00D80C69"/>
    <w:rsid w:val="00D84677"/>
    <w:rsid w:val="00D96D83"/>
    <w:rsid w:val="00DA0656"/>
    <w:rsid w:val="00DB28B4"/>
    <w:rsid w:val="00DB4985"/>
    <w:rsid w:val="00DB7AD9"/>
    <w:rsid w:val="00DC2473"/>
    <w:rsid w:val="00DC4EDB"/>
    <w:rsid w:val="00DD2AF9"/>
    <w:rsid w:val="00DE1DD4"/>
    <w:rsid w:val="00DF61DA"/>
    <w:rsid w:val="00DF7B33"/>
    <w:rsid w:val="00E042C9"/>
    <w:rsid w:val="00E05794"/>
    <w:rsid w:val="00E11DAA"/>
    <w:rsid w:val="00E12BB7"/>
    <w:rsid w:val="00E12FDF"/>
    <w:rsid w:val="00E16035"/>
    <w:rsid w:val="00E23159"/>
    <w:rsid w:val="00E24F6A"/>
    <w:rsid w:val="00E2641E"/>
    <w:rsid w:val="00E33400"/>
    <w:rsid w:val="00E34974"/>
    <w:rsid w:val="00E36AE0"/>
    <w:rsid w:val="00E40A81"/>
    <w:rsid w:val="00E42C7E"/>
    <w:rsid w:val="00E47CB0"/>
    <w:rsid w:val="00E52A81"/>
    <w:rsid w:val="00E544F7"/>
    <w:rsid w:val="00E55E47"/>
    <w:rsid w:val="00E6288C"/>
    <w:rsid w:val="00E65D01"/>
    <w:rsid w:val="00E66F07"/>
    <w:rsid w:val="00E6792F"/>
    <w:rsid w:val="00E73012"/>
    <w:rsid w:val="00E77384"/>
    <w:rsid w:val="00E817E8"/>
    <w:rsid w:val="00E83F24"/>
    <w:rsid w:val="00E86FCB"/>
    <w:rsid w:val="00E914E2"/>
    <w:rsid w:val="00E9310F"/>
    <w:rsid w:val="00E93A73"/>
    <w:rsid w:val="00E952DB"/>
    <w:rsid w:val="00E95D76"/>
    <w:rsid w:val="00EA09D3"/>
    <w:rsid w:val="00EA5A29"/>
    <w:rsid w:val="00EB12E7"/>
    <w:rsid w:val="00EB4AA3"/>
    <w:rsid w:val="00EC72E0"/>
    <w:rsid w:val="00ED5A2B"/>
    <w:rsid w:val="00EE168E"/>
    <w:rsid w:val="00EF434C"/>
    <w:rsid w:val="00F15FD1"/>
    <w:rsid w:val="00F26E98"/>
    <w:rsid w:val="00F31AB7"/>
    <w:rsid w:val="00F32393"/>
    <w:rsid w:val="00F34822"/>
    <w:rsid w:val="00F37309"/>
    <w:rsid w:val="00F4079A"/>
    <w:rsid w:val="00F46A15"/>
    <w:rsid w:val="00F46AB1"/>
    <w:rsid w:val="00F64209"/>
    <w:rsid w:val="00F645B5"/>
    <w:rsid w:val="00F65845"/>
    <w:rsid w:val="00F74CF3"/>
    <w:rsid w:val="00F806B5"/>
    <w:rsid w:val="00F87251"/>
    <w:rsid w:val="00F879F0"/>
    <w:rsid w:val="00F87EBF"/>
    <w:rsid w:val="00F901AE"/>
    <w:rsid w:val="00F923B5"/>
    <w:rsid w:val="00F92BF2"/>
    <w:rsid w:val="00FA4C51"/>
    <w:rsid w:val="00FA75A6"/>
    <w:rsid w:val="00FB0B9C"/>
    <w:rsid w:val="00FB591D"/>
    <w:rsid w:val="00FB60B8"/>
    <w:rsid w:val="00FB729C"/>
    <w:rsid w:val="00FC0ABC"/>
    <w:rsid w:val="00FC0C1A"/>
    <w:rsid w:val="00FC1C7D"/>
    <w:rsid w:val="00FC2AB5"/>
    <w:rsid w:val="00FC3E97"/>
    <w:rsid w:val="00FD07DE"/>
    <w:rsid w:val="00FD5AAE"/>
    <w:rsid w:val="00FE5ABB"/>
    <w:rsid w:val="00FE71A6"/>
    <w:rsid w:val="00FF2D5A"/>
    <w:rsid w:val="00FF3689"/>
    <w:rsid w:val="00FF7C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8329"/>
  <w15:chartTrackingRefBased/>
  <w15:docId w15:val="{C56EB418-8E5C-4D10-BC2A-9B14E764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5">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1" w:qFormat="1"/>
    <w:lsdException w:name="List Number" w:semiHidden="1" w:uiPriority="3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35"/>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9" w:qFormat="1"/>
    <w:lsdException w:name="Body Text Indent" w:semiHidden="1" w:uiPriority="15" w:qFormat="1"/>
    <w:lsdException w:name="List Continue" w:semiHidden="1" w:uiPriority="38"/>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2"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1" w:qFormat="1"/>
    <w:lsdException w:name="Hyperlink" w:semiHidden="1" w:uiPriority="99"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unhideWhenUsed="1"/>
    <w:lsdException w:name="TOC Heading" w:semiHidden="1" w:uiPriority="5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44"/>
    <w:rsid w:val="0010653C"/>
    <w:pPr>
      <w:spacing w:after="0" w:line="240" w:lineRule="auto"/>
    </w:pPr>
    <w:rPr>
      <w:rFonts w:cs="Times New Roman"/>
      <w:sz w:val="24"/>
      <w:szCs w:val="24"/>
    </w:rPr>
  </w:style>
  <w:style w:type="paragraph" w:styleId="Heading1">
    <w:name w:val="heading 1"/>
    <w:basedOn w:val="BodyText"/>
    <w:link w:val="Heading1Char"/>
    <w:uiPriority w:val="26"/>
    <w:qFormat/>
    <w:rsid w:val="001B037B"/>
    <w:pPr>
      <w:numPr>
        <w:numId w:val="16"/>
      </w:numPr>
      <w:outlineLvl w:val="0"/>
    </w:pPr>
    <w:rPr>
      <w:b/>
      <w:u w:val="single"/>
    </w:rPr>
  </w:style>
  <w:style w:type="paragraph" w:styleId="Heading2">
    <w:name w:val="heading 2"/>
    <w:basedOn w:val="BodyText"/>
    <w:link w:val="Heading2Char"/>
    <w:uiPriority w:val="26"/>
    <w:qFormat/>
    <w:rsid w:val="008C7C48"/>
    <w:pPr>
      <w:numPr>
        <w:numId w:val="15"/>
      </w:numPr>
      <w:outlineLvl w:val="1"/>
    </w:pPr>
    <w:rPr>
      <w:b/>
      <w:u w:val="single"/>
    </w:rPr>
  </w:style>
  <w:style w:type="paragraph" w:styleId="Heading3">
    <w:name w:val="heading 3"/>
    <w:basedOn w:val="Normal"/>
    <w:link w:val="Heading3Char"/>
    <w:uiPriority w:val="26"/>
    <w:qFormat/>
    <w:rsid w:val="0010653C"/>
    <w:pPr>
      <w:numPr>
        <w:ilvl w:val="2"/>
        <w:numId w:val="1"/>
      </w:numPr>
      <w:tabs>
        <w:tab w:val="left" w:pos="2880"/>
      </w:tabs>
      <w:spacing w:after="240"/>
      <w:outlineLvl w:val="2"/>
    </w:pPr>
    <w:rPr>
      <w:rFonts w:eastAsia="Times New Roman"/>
      <w:bCs/>
    </w:rPr>
  </w:style>
  <w:style w:type="paragraph" w:styleId="Heading4">
    <w:name w:val="heading 4"/>
    <w:basedOn w:val="Normal"/>
    <w:link w:val="Heading4Char"/>
    <w:uiPriority w:val="26"/>
    <w:rsid w:val="0010653C"/>
    <w:pPr>
      <w:numPr>
        <w:ilvl w:val="3"/>
        <w:numId w:val="1"/>
      </w:numPr>
      <w:tabs>
        <w:tab w:val="left" w:pos="3600"/>
      </w:tabs>
      <w:spacing w:after="240"/>
      <w:outlineLvl w:val="3"/>
    </w:pPr>
    <w:rPr>
      <w:rFonts w:eastAsia="Times New Roman"/>
      <w:bCs/>
      <w:iCs/>
    </w:rPr>
  </w:style>
  <w:style w:type="paragraph" w:styleId="Heading5">
    <w:name w:val="heading 5"/>
    <w:basedOn w:val="Normal"/>
    <w:link w:val="Heading5Char"/>
    <w:uiPriority w:val="26"/>
    <w:rsid w:val="0010653C"/>
    <w:pPr>
      <w:numPr>
        <w:ilvl w:val="4"/>
        <w:numId w:val="1"/>
      </w:numPr>
      <w:tabs>
        <w:tab w:val="left" w:pos="4320"/>
      </w:tabs>
      <w:spacing w:after="240"/>
      <w:outlineLvl w:val="4"/>
    </w:pPr>
    <w:rPr>
      <w:rFonts w:eastAsia="Times New Roman"/>
    </w:rPr>
  </w:style>
  <w:style w:type="paragraph" w:styleId="Heading6">
    <w:name w:val="heading 6"/>
    <w:basedOn w:val="Normal"/>
    <w:link w:val="Heading6Char"/>
    <w:uiPriority w:val="26"/>
    <w:rsid w:val="0010653C"/>
    <w:pPr>
      <w:numPr>
        <w:ilvl w:val="5"/>
        <w:numId w:val="1"/>
      </w:numPr>
      <w:tabs>
        <w:tab w:val="left" w:pos="5040"/>
      </w:tabs>
      <w:spacing w:after="240"/>
      <w:outlineLvl w:val="5"/>
    </w:pPr>
    <w:rPr>
      <w:rFonts w:eastAsia="Times New Roman"/>
      <w:iCs/>
    </w:rPr>
  </w:style>
  <w:style w:type="paragraph" w:styleId="Heading7">
    <w:name w:val="heading 7"/>
    <w:basedOn w:val="Normal"/>
    <w:link w:val="Heading7Char"/>
    <w:uiPriority w:val="26"/>
    <w:rsid w:val="0010653C"/>
    <w:pPr>
      <w:numPr>
        <w:ilvl w:val="6"/>
        <w:numId w:val="1"/>
      </w:numPr>
      <w:tabs>
        <w:tab w:val="left" w:pos="5760"/>
      </w:tabs>
      <w:spacing w:after="240"/>
      <w:outlineLvl w:val="6"/>
    </w:pPr>
    <w:rPr>
      <w:rFonts w:eastAsia="Times New Roman"/>
      <w:iCs/>
    </w:rPr>
  </w:style>
  <w:style w:type="paragraph" w:styleId="Heading8">
    <w:name w:val="heading 8"/>
    <w:basedOn w:val="Normal"/>
    <w:link w:val="Heading8Char"/>
    <w:uiPriority w:val="26"/>
    <w:rsid w:val="0010653C"/>
    <w:pPr>
      <w:numPr>
        <w:ilvl w:val="7"/>
        <w:numId w:val="1"/>
      </w:numPr>
      <w:tabs>
        <w:tab w:val="left" w:pos="6480"/>
      </w:tabs>
      <w:spacing w:after="240"/>
      <w:outlineLvl w:val="7"/>
    </w:pPr>
    <w:rPr>
      <w:rFonts w:eastAsia="Times New Roman"/>
      <w:szCs w:val="20"/>
    </w:rPr>
  </w:style>
  <w:style w:type="paragraph" w:styleId="Heading9">
    <w:name w:val="heading 9"/>
    <w:basedOn w:val="Normal"/>
    <w:link w:val="Heading9Char"/>
    <w:uiPriority w:val="26"/>
    <w:rsid w:val="0010653C"/>
    <w:pPr>
      <w:numPr>
        <w:ilvl w:val="8"/>
        <w:numId w:val="1"/>
      </w:numPr>
      <w:tabs>
        <w:tab w:val="left"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10653C"/>
    <w:pPr>
      <w:tabs>
        <w:tab w:val="center" w:pos="4680"/>
        <w:tab w:val="right" w:pos="9360"/>
      </w:tabs>
    </w:pPr>
  </w:style>
  <w:style w:type="character" w:customStyle="1" w:styleId="HeaderChar">
    <w:name w:val="Header Char"/>
    <w:basedOn w:val="DefaultParagraphFont"/>
    <w:link w:val="Header"/>
    <w:uiPriority w:val="26"/>
    <w:rsid w:val="0010653C"/>
    <w:rPr>
      <w:rFonts w:cs="Times New Roman"/>
      <w:sz w:val="24"/>
      <w:szCs w:val="24"/>
    </w:rPr>
  </w:style>
  <w:style w:type="paragraph" w:styleId="Footer">
    <w:name w:val="footer"/>
    <w:basedOn w:val="NoSpacing"/>
    <w:link w:val="FooterChar"/>
    <w:uiPriority w:val="26"/>
    <w:unhideWhenUsed/>
    <w:rsid w:val="0010653C"/>
    <w:pPr>
      <w:tabs>
        <w:tab w:val="center" w:pos="4680"/>
        <w:tab w:val="right" w:pos="9360"/>
      </w:tabs>
    </w:pPr>
  </w:style>
  <w:style w:type="character" w:customStyle="1" w:styleId="FooterChar">
    <w:name w:val="Footer Char"/>
    <w:basedOn w:val="DefaultParagraphFont"/>
    <w:link w:val="Footer"/>
    <w:uiPriority w:val="26"/>
    <w:rsid w:val="0010653C"/>
    <w:rPr>
      <w:rFonts w:cs="Times New Roman"/>
      <w:sz w:val="24"/>
      <w:szCs w:val="24"/>
    </w:rPr>
  </w:style>
  <w:style w:type="character" w:customStyle="1" w:styleId="Heading1Char">
    <w:name w:val="Heading 1 Char"/>
    <w:basedOn w:val="DefaultParagraphFont"/>
    <w:link w:val="Heading1"/>
    <w:uiPriority w:val="26"/>
    <w:rsid w:val="008C7C48"/>
    <w:rPr>
      <w:rFonts w:cs="Times New Roman"/>
      <w:b/>
      <w:sz w:val="24"/>
      <w:szCs w:val="24"/>
      <w:u w:val="single"/>
    </w:rPr>
  </w:style>
  <w:style w:type="character" w:customStyle="1" w:styleId="Heading2Char">
    <w:name w:val="Heading 2 Char"/>
    <w:basedOn w:val="DefaultParagraphFont"/>
    <w:link w:val="Heading2"/>
    <w:uiPriority w:val="26"/>
    <w:rsid w:val="008C7C48"/>
    <w:rPr>
      <w:rFonts w:cs="Times New Roman"/>
      <w:b/>
      <w:sz w:val="24"/>
      <w:szCs w:val="24"/>
      <w:u w:val="single"/>
    </w:rPr>
  </w:style>
  <w:style w:type="character" w:customStyle="1" w:styleId="Heading3Char">
    <w:name w:val="Heading 3 Char"/>
    <w:basedOn w:val="DefaultParagraphFont"/>
    <w:link w:val="Heading3"/>
    <w:uiPriority w:val="26"/>
    <w:rsid w:val="0010653C"/>
    <w:rPr>
      <w:rFonts w:eastAsia="Times New Roman" w:cs="Times New Roman"/>
      <w:bCs/>
      <w:sz w:val="24"/>
      <w:szCs w:val="24"/>
    </w:rPr>
  </w:style>
  <w:style w:type="character" w:customStyle="1" w:styleId="Heading4Char">
    <w:name w:val="Heading 4 Char"/>
    <w:basedOn w:val="DefaultParagraphFont"/>
    <w:link w:val="Heading4"/>
    <w:uiPriority w:val="26"/>
    <w:rsid w:val="0010653C"/>
    <w:rPr>
      <w:rFonts w:eastAsia="Times New Roman" w:cs="Times New Roman"/>
      <w:bCs/>
      <w:iCs/>
      <w:sz w:val="24"/>
      <w:szCs w:val="24"/>
    </w:rPr>
  </w:style>
  <w:style w:type="character" w:customStyle="1" w:styleId="Heading5Char">
    <w:name w:val="Heading 5 Char"/>
    <w:basedOn w:val="DefaultParagraphFont"/>
    <w:link w:val="Heading5"/>
    <w:uiPriority w:val="26"/>
    <w:rsid w:val="0010653C"/>
    <w:rPr>
      <w:rFonts w:eastAsia="Times New Roman" w:cs="Times New Roman"/>
      <w:sz w:val="24"/>
      <w:szCs w:val="24"/>
    </w:rPr>
  </w:style>
  <w:style w:type="character" w:customStyle="1" w:styleId="Heading6Char">
    <w:name w:val="Heading 6 Char"/>
    <w:basedOn w:val="DefaultParagraphFont"/>
    <w:link w:val="Heading6"/>
    <w:uiPriority w:val="26"/>
    <w:rsid w:val="0010653C"/>
    <w:rPr>
      <w:rFonts w:eastAsia="Times New Roman" w:cs="Times New Roman"/>
      <w:iCs/>
      <w:sz w:val="24"/>
      <w:szCs w:val="24"/>
    </w:rPr>
  </w:style>
  <w:style w:type="character" w:customStyle="1" w:styleId="Heading7Char">
    <w:name w:val="Heading 7 Char"/>
    <w:basedOn w:val="DefaultParagraphFont"/>
    <w:link w:val="Heading7"/>
    <w:uiPriority w:val="26"/>
    <w:rsid w:val="0010653C"/>
    <w:rPr>
      <w:rFonts w:eastAsia="Times New Roman" w:cs="Times New Roman"/>
      <w:iCs/>
      <w:sz w:val="24"/>
      <w:szCs w:val="24"/>
    </w:rPr>
  </w:style>
  <w:style w:type="character" w:customStyle="1" w:styleId="Heading8Char">
    <w:name w:val="Heading 8 Char"/>
    <w:basedOn w:val="DefaultParagraphFont"/>
    <w:link w:val="Heading8"/>
    <w:uiPriority w:val="26"/>
    <w:rsid w:val="0010653C"/>
    <w:rPr>
      <w:rFonts w:eastAsia="Times New Roman" w:cs="Times New Roman"/>
      <w:sz w:val="24"/>
      <w:szCs w:val="20"/>
    </w:rPr>
  </w:style>
  <w:style w:type="character" w:customStyle="1" w:styleId="Heading9Char">
    <w:name w:val="Heading 9 Char"/>
    <w:basedOn w:val="DefaultParagraphFont"/>
    <w:link w:val="Heading9"/>
    <w:uiPriority w:val="26"/>
    <w:rsid w:val="0010653C"/>
    <w:rPr>
      <w:rFonts w:eastAsia="Times New Roman" w:cs="Times New Roman"/>
      <w:iCs/>
      <w:sz w:val="24"/>
      <w:szCs w:val="20"/>
    </w:rPr>
  </w:style>
  <w:style w:type="paragraph" w:styleId="FootnoteText">
    <w:name w:val="footnote text"/>
    <w:basedOn w:val="Normal"/>
    <w:link w:val="FootnoteTextChar"/>
    <w:uiPriority w:val="26"/>
    <w:rsid w:val="0010653C"/>
    <w:pPr>
      <w:spacing w:after="240"/>
      <w:ind w:left="360" w:hanging="360"/>
    </w:pPr>
    <w:rPr>
      <w:sz w:val="20"/>
      <w:szCs w:val="20"/>
    </w:rPr>
  </w:style>
  <w:style w:type="character" w:customStyle="1" w:styleId="FootnoteTextChar">
    <w:name w:val="Footnote Text Char"/>
    <w:basedOn w:val="DefaultParagraphFont"/>
    <w:link w:val="FootnoteText"/>
    <w:uiPriority w:val="26"/>
    <w:rsid w:val="0010653C"/>
    <w:rPr>
      <w:rFonts w:cs="Times New Roman"/>
      <w:sz w:val="20"/>
      <w:szCs w:val="20"/>
    </w:rPr>
  </w:style>
  <w:style w:type="paragraph" w:customStyle="1" w:styleId="DocID">
    <w:name w:val="DocID"/>
    <w:basedOn w:val="NoSpacing"/>
    <w:link w:val="DocIDChar"/>
    <w:uiPriority w:val="26"/>
    <w:semiHidden/>
    <w:rsid w:val="0010653C"/>
    <w:pPr>
      <w:spacing w:before="60"/>
    </w:pPr>
    <w:rPr>
      <w:noProof/>
      <w:sz w:val="16"/>
    </w:rPr>
  </w:style>
  <w:style w:type="character" w:customStyle="1" w:styleId="DocIDChar">
    <w:name w:val="DocID Char"/>
    <w:basedOn w:val="DefaultParagraphFont"/>
    <w:link w:val="DocID"/>
    <w:uiPriority w:val="26"/>
    <w:semiHidden/>
    <w:rsid w:val="0010653C"/>
    <w:rPr>
      <w:rFonts w:cs="Times New Roman"/>
      <w:noProof/>
      <w:sz w:val="16"/>
      <w:szCs w:val="24"/>
    </w:rPr>
  </w:style>
  <w:style w:type="table" w:styleId="TableGrid">
    <w:name w:val="Table Grid"/>
    <w:basedOn w:val="TableNormal"/>
    <w:uiPriority w:val="59"/>
    <w:rsid w:val="0010653C"/>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9"/>
    <w:qFormat/>
    <w:rsid w:val="00560017"/>
    <w:pPr>
      <w:spacing w:after="240"/>
      <w:ind w:firstLine="720"/>
    </w:pPr>
  </w:style>
  <w:style w:type="character" w:customStyle="1" w:styleId="BodyTextChar">
    <w:name w:val="Body Text Char"/>
    <w:aliases w:val="Body ss Char"/>
    <w:basedOn w:val="DefaultParagraphFont"/>
    <w:link w:val="BodyText"/>
    <w:uiPriority w:val="9"/>
    <w:rsid w:val="00560017"/>
    <w:rPr>
      <w:rFonts w:cs="Times New Roman"/>
      <w:sz w:val="24"/>
      <w:szCs w:val="24"/>
    </w:rPr>
  </w:style>
  <w:style w:type="paragraph" w:styleId="BodyText2">
    <w:name w:val="Body Text 2"/>
    <w:aliases w:val="Body ds"/>
    <w:basedOn w:val="Normal"/>
    <w:link w:val="BodyText2Char"/>
    <w:uiPriority w:val="10"/>
    <w:qFormat/>
    <w:rsid w:val="0010653C"/>
    <w:pPr>
      <w:spacing w:line="480" w:lineRule="auto"/>
    </w:pPr>
  </w:style>
  <w:style w:type="character" w:customStyle="1" w:styleId="BodyText2Char">
    <w:name w:val="Body Text 2 Char"/>
    <w:aliases w:val="Body ds Char"/>
    <w:basedOn w:val="DefaultParagraphFont"/>
    <w:link w:val="BodyText2"/>
    <w:uiPriority w:val="10"/>
    <w:rsid w:val="0010653C"/>
    <w:rPr>
      <w:rFonts w:cs="Times New Roman"/>
      <w:sz w:val="24"/>
      <w:szCs w:val="24"/>
    </w:rPr>
  </w:style>
  <w:style w:type="paragraph" w:styleId="BodyText3">
    <w:name w:val="Body Text 3"/>
    <w:aliases w:val="Body 8pt"/>
    <w:basedOn w:val="Normal"/>
    <w:link w:val="BodyText3Char"/>
    <w:uiPriority w:val="10"/>
    <w:rsid w:val="0010653C"/>
    <w:pPr>
      <w:spacing w:after="240"/>
    </w:pPr>
    <w:rPr>
      <w:sz w:val="16"/>
      <w:szCs w:val="16"/>
    </w:rPr>
  </w:style>
  <w:style w:type="character" w:customStyle="1" w:styleId="BodyText3Char">
    <w:name w:val="Body Text 3 Char"/>
    <w:aliases w:val="Body 8pt Char"/>
    <w:basedOn w:val="DefaultParagraphFont"/>
    <w:link w:val="BodyText3"/>
    <w:uiPriority w:val="10"/>
    <w:rsid w:val="0010653C"/>
    <w:rPr>
      <w:rFonts w:cs="Times New Roman"/>
      <w:sz w:val="16"/>
      <w:szCs w:val="16"/>
    </w:rPr>
  </w:style>
  <w:style w:type="paragraph" w:styleId="NoSpacing">
    <w:name w:val="No Spacing"/>
    <w:aliases w:val="No sp."/>
    <w:basedOn w:val="BodyText"/>
    <w:uiPriority w:val="44"/>
    <w:qFormat/>
    <w:rsid w:val="0010653C"/>
    <w:pPr>
      <w:spacing w:after="0"/>
    </w:pPr>
  </w:style>
  <w:style w:type="paragraph" w:customStyle="1" w:styleId="BodyTextFirstIndent3">
    <w:name w:val="Body Text First Indent 3"/>
    <w:aliases w:val="Body fi 1&quot; ss"/>
    <w:basedOn w:val="Normal"/>
    <w:link w:val="BodyTextFirstIndent3Char"/>
    <w:uiPriority w:val="13"/>
    <w:qFormat/>
    <w:rsid w:val="0010653C"/>
    <w:pPr>
      <w:spacing w:after="240"/>
      <w:ind w:firstLine="1440"/>
    </w:pPr>
    <w:rPr>
      <w:rFonts w:eastAsia="Calibri"/>
    </w:rPr>
  </w:style>
  <w:style w:type="paragraph" w:styleId="BlockText">
    <w:name w:val="Block Text"/>
    <w:aliases w:val="Block .5&quot;"/>
    <w:basedOn w:val="Normal"/>
    <w:uiPriority w:val="21"/>
    <w:qFormat/>
    <w:rsid w:val="0010653C"/>
    <w:pPr>
      <w:spacing w:after="240"/>
      <w:ind w:left="720" w:right="720"/>
    </w:pPr>
    <w:rPr>
      <w:rFonts w:eastAsia="Times New Roman"/>
      <w:iCs/>
    </w:rPr>
  </w:style>
  <w:style w:type="paragraph" w:customStyle="1" w:styleId="BlockText2">
    <w:name w:val="Block Text 2"/>
    <w:aliases w:val="Block 1&quot;"/>
    <w:basedOn w:val="Normal"/>
    <w:uiPriority w:val="22"/>
    <w:rsid w:val="0010653C"/>
    <w:pPr>
      <w:spacing w:after="240"/>
      <w:ind w:left="1440" w:right="1440"/>
    </w:pPr>
  </w:style>
  <w:style w:type="paragraph" w:styleId="BodyTextFirstIndent">
    <w:name w:val="Body Text First Indent"/>
    <w:aliases w:val="Body fi .5&quot; ss"/>
    <w:basedOn w:val="Normal"/>
    <w:link w:val="BodyTextFirstIndentChar"/>
    <w:uiPriority w:val="12"/>
    <w:qFormat/>
    <w:rsid w:val="0010653C"/>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10653C"/>
    <w:rPr>
      <w:rFonts w:eastAsia="Calibri" w:cs="Times New Roman"/>
      <w:sz w:val="24"/>
      <w:szCs w:val="24"/>
    </w:rPr>
  </w:style>
  <w:style w:type="paragraph" w:styleId="BodyTextIndent">
    <w:name w:val="Body Text Indent"/>
    <w:aliases w:val="Body i .5&quot; ss"/>
    <w:basedOn w:val="Normal"/>
    <w:link w:val="BodyTextIndentChar"/>
    <w:uiPriority w:val="15"/>
    <w:qFormat/>
    <w:rsid w:val="0010653C"/>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10653C"/>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10653C"/>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10653C"/>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10653C"/>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10653C"/>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10653C"/>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rsid w:val="0010653C"/>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10653C"/>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rsid w:val="0010653C"/>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10653C"/>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8"/>
    <w:rsid w:val="0010653C"/>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10653C"/>
    <w:rPr>
      <w:rFonts w:eastAsia="Calibri" w:cs="Times New Roman"/>
      <w:sz w:val="24"/>
      <w:szCs w:val="24"/>
    </w:rPr>
  </w:style>
  <w:style w:type="paragraph" w:styleId="BodyTextIndent2">
    <w:name w:val="Body Text Indent 2"/>
    <w:aliases w:val="Body i .5&quot; ds"/>
    <w:basedOn w:val="Normal"/>
    <w:link w:val="BodyTextIndent2Char"/>
    <w:uiPriority w:val="16"/>
    <w:qFormat/>
    <w:rsid w:val="0010653C"/>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10653C"/>
    <w:rPr>
      <w:rFonts w:eastAsia="Calibri" w:cs="Times New Roman"/>
      <w:sz w:val="24"/>
      <w:szCs w:val="24"/>
    </w:rPr>
  </w:style>
  <w:style w:type="paragraph" w:styleId="BodyTextIndent3">
    <w:name w:val="Body Text Indent 3"/>
    <w:aliases w:val="Body i 1&quot; ss"/>
    <w:basedOn w:val="Normal"/>
    <w:link w:val="BodyTextIndent3Char"/>
    <w:uiPriority w:val="16"/>
    <w:rsid w:val="0010653C"/>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10653C"/>
    <w:rPr>
      <w:rFonts w:eastAsia="Calibri" w:cs="Times New Roman"/>
      <w:sz w:val="24"/>
      <w:szCs w:val="16"/>
    </w:rPr>
  </w:style>
  <w:style w:type="paragraph" w:customStyle="1" w:styleId="BodyTextIndent4">
    <w:name w:val="Body Text Indent 4"/>
    <w:aliases w:val="Body i 1&quot; ds"/>
    <w:basedOn w:val="Normal"/>
    <w:link w:val="BodyTextIndent4Char"/>
    <w:uiPriority w:val="16"/>
    <w:rsid w:val="0010653C"/>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10653C"/>
    <w:rPr>
      <w:rFonts w:eastAsia="Calibri" w:cs="Times New Roman"/>
      <w:sz w:val="24"/>
      <w:szCs w:val="24"/>
    </w:rPr>
  </w:style>
  <w:style w:type="character" w:customStyle="1" w:styleId="Draft">
    <w:name w:val="Draft"/>
    <w:basedOn w:val="DefaultParagraphFont"/>
    <w:uiPriority w:val="26"/>
    <w:semiHidden/>
    <w:rsid w:val="0010653C"/>
    <w:rPr>
      <w:b/>
    </w:rPr>
  </w:style>
  <w:style w:type="paragraph" w:styleId="Caption">
    <w:name w:val="caption"/>
    <w:basedOn w:val="NoSpacing"/>
    <w:uiPriority w:val="26"/>
    <w:semiHidden/>
    <w:unhideWhenUsed/>
    <w:rsid w:val="0010653C"/>
    <w:pPr>
      <w:spacing w:after="200"/>
    </w:pPr>
    <w:rPr>
      <w:b/>
      <w:bCs/>
      <w:sz w:val="18"/>
      <w:szCs w:val="18"/>
    </w:rPr>
  </w:style>
  <w:style w:type="paragraph" w:styleId="EndnoteText">
    <w:name w:val="endnote text"/>
    <w:basedOn w:val="Normal"/>
    <w:link w:val="EndnoteTextChar"/>
    <w:uiPriority w:val="26"/>
    <w:rsid w:val="0010653C"/>
    <w:pPr>
      <w:spacing w:after="240"/>
      <w:ind w:left="360" w:hanging="360"/>
    </w:pPr>
    <w:rPr>
      <w:sz w:val="20"/>
      <w:szCs w:val="20"/>
    </w:rPr>
  </w:style>
  <w:style w:type="character" w:customStyle="1" w:styleId="EndnoteTextChar">
    <w:name w:val="Endnote Text Char"/>
    <w:basedOn w:val="DefaultParagraphFont"/>
    <w:link w:val="EndnoteText"/>
    <w:uiPriority w:val="26"/>
    <w:rsid w:val="0010653C"/>
    <w:rPr>
      <w:rFonts w:cs="Times New Roman"/>
      <w:sz w:val="20"/>
      <w:szCs w:val="20"/>
    </w:rPr>
  </w:style>
  <w:style w:type="paragraph" w:styleId="EnvelopeAddress">
    <w:name w:val="envelope address"/>
    <w:basedOn w:val="Normal"/>
    <w:uiPriority w:val="26"/>
    <w:semiHidden/>
    <w:unhideWhenUsed/>
    <w:rsid w:val="0010653C"/>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10653C"/>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10653C"/>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10653C"/>
    <w:rPr>
      <w:rFonts w:cs="Times New Roman"/>
      <w:sz w:val="24"/>
      <w:szCs w:val="24"/>
    </w:rPr>
  </w:style>
  <w:style w:type="paragraph" w:styleId="Signature">
    <w:name w:val="Signature"/>
    <w:basedOn w:val="Normal"/>
    <w:link w:val="SignatureChar"/>
    <w:uiPriority w:val="44"/>
    <w:rsid w:val="0010653C"/>
    <w:pPr>
      <w:tabs>
        <w:tab w:val="right" w:leader="underscore" w:pos="9360"/>
      </w:tabs>
      <w:spacing w:after="240"/>
      <w:ind w:left="5040"/>
    </w:pPr>
  </w:style>
  <w:style w:type="character" w:customStyle="1" w:styleId="SignatureChar">
    <w:name w:val="Signature Char"/>
    <w:basedOn w:val="DefaultParagraphFont"/>
    <w:link w:val="Signature"/>
    <w:uiPriority w:val="44"/>
    <w:rsid w:val="0010653C"/>
    <w:rPr>
      <w:rFonts w:cs="Times New Roman"/>
      <w:sz w:val="24"/>
      <w:szCs w:val="24"/>
    </w:rPr>
  </w:style>
  <w:style w:type="paragraph" w:styleId="CommentText">
    <w:name w:val="annotation text"/>
    <w:basedOn w:val="NoSpacing"/>
    <w:link w:val="CommentTextChar"/>
    <w:uiPriority w:val="26"/>
    <w:semiHidden/>
    <w:unhideWhenUsed/>
    <w:rsid w:val="0010653C"/>
    <w:rPr>
      <w:sz w:val="20"/>
      <w:szCs w:val="20"/>
    </w:rPr>
  </w:style>
  <w:style w:type="character" w:customStyle="1" w:styleId="CommentTextChar">
    <w:name w:val="Comment Text Char"/>
    <w:basedOn w:val="DefaultParagraphFont"/>
    <w:link w:val="CommentText"/>
    <w:uiPriority w:val="26"/>
    <w:semiHidden/>
    <w:rsid w:val="0010653C"/>
    <w:rPr>
      <w:rFonts w:cs="Times New Roman"/>
      <w:sz w:val="20"/>
      <w:szCs w:val="20"/>
    </w:rPr>
  </w:style>
  <w:style w:type="paragraph" w:styleId="Date">
    <w:name w:val="Date"/>
    <w:basedOn w:val="NoSpacing"/>
    <w:next w:val="Normal"/>
    <w:link w:val="DateChar"/>
    <w:uiPriority w:val="26"/>
    <w:semiHidden/>
    <w:unhideWhenUsed/>
    <w:rsid w:val="0010653C"/>
  </w:style>
  <w:style w:type="character" w:customStyle="1" w:styleId="DateChar">
    <w:name w:val="Date Char"/>
    <w:basedOn w:val="DefaultParagraphFont"/>
    <w:link w:val="Date"/>
    <w:uiPriority w:val="26"/>
    <w:semiHidden/>
    <w:rsid w:val="0010653C"/>
    <w:rPr>
      <w:rFonts w:cs="Times New Roman"/>
      <w:sz w:val="24"/>
      <w:szCs w:val="24"/>
    </w:rPr>
  </w:style>
  <w:style w:type="paragraph" w:styleId="E-mailSignature">
    <w:name w:val="E-mail Signature"/>
    <w:basedOn w:val="Normal"/>
    <w:link w:val="E-mailSignatureChar"/>
    <w:uiPriority w:val="26"/>
    <w:semiHidden/>
    <w:unhideWhenUsed/>
    <w:rsid w:val="0010653C"/>
    <w:pPr>
      <w:spacing w:after="240"/>
    </w:pPr>
  </w:style>
  <w:style w:type="character" w:customStyle="1" w:styleId="E-mailSignatureChar">
    <w:name w:val="E-mail Signature Char"/>
    <w:basedOn w:val="DefaultParagraphFont"/>
    <w:link w:val="E-mailSignature"/>
    <w:uiPriority w:val="26"/>
    <w:semiHidden/>
    <w:rsid w:val="0010653C"/>
    <w:rPr>
      <w:rFonts w:cs="Times New Roman"/>
      <w:sz w:val="24"/>
      <w:szCs w:val="24"/>
    </w:rPr>
  </w:style>
  <w:style w:type="paragraph" w:styleId="ListBullet">
    <w:name w:val="List Bullet"/>
    <w:aliases w:val="ListBul 1"/>
    <w:basedOn w:val="Normal"/>
    <w:uiPriority w:val="31"/>
    <w:qFormat/>
    <w:rsid w:val="0010653C"/>
    <w:pPr>
      <w:numPr>
        <w:numId w:val="2"/>
      </w:numPr>
      <w:spacing w:after="240"/>
    </w:pPr>
  </w:style>
  <w:style w:type="paragraph" w:styleId="ListBullet2">
    <w:name w:val="List Bullet 2"/>
    <w:aliases w:val="ListBul 2"/>
    <w:basedOn w:val="Normal"/>
    <w:uiPriority w:val="32"/>
    <w:qFormat/>
    <w:rsid w:val="0010653C"/>
    <w:pPr>
      <w:numPr>
        <w:numId w:val="3"/>
      </w:numPr>
      <w:spacing w:after="240"/>
    </w:pPr>
  </w:style>
  <w:style w:type="paragraph" w:styleId="ListBullet3">
    <w:name w:val="List Bullet 3"/>
    <w:aliases w:val="ListBul 3"/>
    <w:basedOn w:val="Normal"/>
    <w:uiPriority w:val="32"/>
    <w:rsid w:val="0010653C"/>
    <w:pPr>
      <w:numPr>
        <w:numId w:val="4"/>
      </w:numPr>
      <w:spacing w:after="240"/>
    </w:pPr>
  </w:style>
  <w:style w:type="paragraph" w:styleId="ListBullet4">
    <w:name w:val="List Bullet 4"/>
    <w:aliases w:val="ListBul 4"/>
    <w:basedOn w:val="Normal"/>
    <w:uiPriority w:val="32"/>
    <w:rsid w:val="0010653C"/>
    <w:pPr>
      <w:numPr>
        <w:numId w:val="5"/>
      </w:numPr>
      <w:spacing w:after="240"/>
    </w:pPr>
  </w:style>
  <w:style w:type="paragraph" w:styleId="ListBullet5">
    <w:name w:val="List Bullet 5"/>
    <w:aliases w:val="ListBul 5"/>
    <w:basedOn w:val="Normal"/>
    <w:uiPriority w:val="32"/>
    <w:rsid w:val="0010653C"/>
    <w:pPr>
      <w:numPr>
        <w:numId w:val="6"/>
      </w:numPr>
      <w:spacing w:after="240"/>
    </w:pPr>
  </w:style>
  <w:style w:type="paragraph" w:styleId="ListNumber">
    <w:name w:val="List Number"/>
    <w:aliases w:val="ListNum 1"/>
    <w:basedOn w:val="Normal"/>
    <w:uiPriority w:val="34"/>
    <w:qFormat/>
    <w:rsid w:val="0010653C"/>
    <w:pPr>
      <w:numPr>
        <w:numId w:val="7"/>
      </w:numPr>
      <w:spacing w:after="240"/>
    </w:pPr>
  </w:style>
  <w:style w:type="paragraph" w:styleId="ListContinue">
    <w:name w:val="List Continue"/>
    <w:aliases w:val="ListCont 1"/>
    <w:basedOn w:val="Normal"/>
    <w:uiPriority w:val="38"/>
    <w:rsid w:val="0010653C"/>
    <w:pPr>
      <w:spacing w:after="120"/>
      <w:ind w:left="360"/>
    </w:pPr>
  </w:style>
  <w:style w:type="paragraph" w:styleId="ListContinue2">
    <w:name w:val="List Continue 2"/>
    <w:aliases w:val="ListCont 2"/>
    <w:basedOn w:val="Normal"/>
    <w:uiPriority w:val="39"/>
    <w:rsid w:val="0010653C"/>
    <w:pPr>
      <w:spacing w:after="120"/>
      <w:ind w:left="720"/>
    </w:pPr>
  </w:style>
  <w:style w:type="paragraph" w:styleId="ListContinue3">
    <w:name w:val="List Continue 3"/>
    <w:aliases w:val="ListCont 3"/>
    <w:basedOn w:val="Normal"/>
    <w:uiPriority w:val="39"/>
    <w:rsid w:val="0010653C"/>
    <w:pPr>
      <w:spacing w:after="120"/>
      <w:ind w:left="1080"/>
    </w:pPr>
  </w:style>
  <w:style w:type="paragraph" w:styleId="ListContinue4">
    <w:name w:val="List Continue 4"/>
    <w:aliases w:val="ListCont 4"/>
    <w:basedOn w:val="Normal"/>
    <w:uiPriority w:val="39"/>
    <w:rsid w:val="0010653C"/>
    <w:pPr>
      <w:spacing w:after="120"/>
      <w:ind w:left="1440"/>
    </w:pPr>
  </w:style>
  <w:style w:type="paragraph" w:styleId="ListContinue5">
    <w:name w:val="List Continue 5"/>
    <w:aliases w:val="ListCont 5"/>
    <w:basedOn w:val="Normal"/>
    <w:uiPriority w:val="39"/>
    <w:rsid w:val="0010653C"/>
    <w:pPr>
      <w:spacing w:after="120"/>
      <w:ind w:left="1800"/>
    </w:pPr>
  </w:style>
  <w:style w:type="paragraph" w:styleId="ListNumber2">
    <w:name w:val="List Number 2"/>
    <w:aliases w:val="ListNum 2"/>
    <w:basedOn w:val="Normal"/>
    <w:uiPriority w:val="35"/>
    <w:qFormat/>
    <w:rsid w:val="0010653C"/>
    <w:pPr>
      <w:numPr>
        <w:numId w:val="8"/>
      </w:numPr>
      <w:tabs>
        <w:tab w:val="clear" w:pos="1440"/>
      </w:tabs>
      <w:spacing w:after="240"/>
    </w:pPr>
  </w:style>
  <w:style w:type="paragraph" w:styleId="ListNumber3">
    <w:name w:val="List Number 3"/>
    <w:aliases w:val="ListNum 3"/>
    <w:basedOn w:val="Normal"/>
    <w:uiPriority w:val="35"/>
    <w:rsid w:val="0010653C"/>
    <w:pPr>
      <w:numPr>
        <w:numId w:val="9"/>
      </w:numPr>
      <w:spacing w:after="240"/>
    </w:pPr>
  </w:style>
  <w:style w:type="paragraph" w:styleId="ListNumber4">
    <w:name w:val="List Number 4"/>
    <w:aliases w:val="ListNum 4"/>
    <w:basedOn w:val="Normal"/>
    <w:uiPriority w:val="35"/>
    <w:rsid w:val="0010653C"/>
    <w:pPr>
      <w:numPr>
        <w:numId w:val="10"/>
      </w:numPr>
      <w:spacing w:after="240"/>
    </w:pPr>
  </w:style>
  <w:style w:type="paragraph" w:styleId="ListNumber5">
    <w:name w:val="List Number 5"/>
    <w:aliases w:val="ListNum 5"/>
    <w:basedOn w:val="Normal"/>
    <w:uiPriority w:val="35"/>
    <w:rsid w:val="0010653C"/>
    <w:pPr>
      <w:numPr>
        <w:numId w:val="11"/>
      </w:numPr>
      <w:spacing w:after="240"/>
    </w:pPr>
  </w:style>
  <w:style w:type="paragraph" w:styleId="Salutation">
    <w:name w:val="Salutation"/>
    <w:basedOn w:val="Normal"/>
    <w:next w:val="BodyText"/>
    <w:link w:val="SalutationChar"/>
    <w:uiPriority w:val="44"/>
    <w:semiHidden/>
    <w:unhideWhenUsed/>
    <w:rsid w:val="0010653C"/>
    <w:pPr>
      <w:spacing w:after="240"/>
    </w:pPr>
  </w:style>
  <w:style w:type="character" w:customStyle="1" w:styleId="SalutationChar">
    <w:name w:val="Salutation Char"/>
    <w:basedOn w:val="DefaultParagraphFont"/>
    <w:link w:val="Salutation"/>
    <w:uiPriority w:val="44"/>
    <w:semiHidden/>
    <w:rsid w:val="0010653C"/>
    <w:rPr>
      <w:rFonts w:cs="Times New Roman"/>
      <w:sz w:val="24"/>
      <w:szCs w:val="24"/>
    </w:rPr>
  </w:style>
  <w:style w:type="paragraph" w:styleId="Subtitle">
    <w:name w:val="Subtitle"/>
    <w:basedOn w:val="Normal"/>
    <w:next w:val="BodyText"/>
    <w:link w:val="SubtitleChar"/>
    <w:uiPriority w:val="49"/>
    <w:qFormat/>
    <w:rsid w:val="0010653C"/>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10653C"/>
    <w:rPr>
      <w:rFonts w:eastAsia="Times New Roman" w:cs="Times New Roman"/>
      <w:b/>
      <w:iCs/>
      <w:sz w:val="24"/>
      <w:szCs w:val="24"/>
    </w:rPr>
  </w:style>
  <w:style w:type="paragraph" w:customStyle="1" w:styleId="Subtitle2">
    <w:name w:val="Subtitle 2"/>
    <w:basedOn w:val="Normal"/>
    <w:next w:val="BodyText"/>
    <w:link w:val="Subtitle2Char"/>
    <w:uiPriority w:val="49"/>
    <w:rsid w:val="0010653C"/>
    <w:pPr>
      <w:keepNext/>
      <w:spacing w:after="240"/>
    </w:pPr>
    <w:rPr>
      <w:b/>
    </w:rPr>
  </w:style>
  <w:style w:type="character" w:customStyle="1" w:styleId="Subtitle2Char">
    <w:name w:val="Subtitle 2 Char"/>
    <w:basedOn w:val="DefaultParagraphFont"/>
    <w:link w:val="Subtitle2"/>
    <w:uiPriority w:val="49"/>
    <w:rsid w:val="0010653C"/>
    <w:rPr>
      <w:rFonts w:cs="Times New Roman"/>
      <w:b/>
      <w:sz w:val="24"/>
      <w:szCs w:val="24"/>
    </w:rPr>
  </w:style>
  <w:style w:type="paragraph" w:customStyle="1" w:styleId="Subtitle3">
    <w:name w:val="Subtitle 3"/>
    <w:basedOn w:val="Normal"/>
    <w:next w:val="BodyText"/>
    <w:link w:val="Subtitle3Char"/>
    <w:uiPriority w:val="49"/>
    <w:rsid w:val="0010653C"/>
    <w:pPr>
      <w:keepNext/>
      <w:spacing w:after="240"/>
    </w:pPr>
    <w:rPr>
      <w:i/>
    </w:rPr>
  </w:style>
  <w:style w:type="character" w:customStyle="1" w:styleId="Subtitle3Char">
    <w:name w:val="Subtitle 3 Char"/>
    <w:basedOn w:val="DefaultParagraphFont"/>
    <w:link w:val="Subtitle3"/>
    <w:uiPriority w:val="49"/>
    <w:rsid w:val="0010653C"/>
    <w:rPr>
      <w:rFonts w:cs="Times New Roman"/>
      <w:i/>
      <w:sz w:val="24"/>
      <w:szCs w:val="24"/>
    </w:rPr>
  </w:style>
  <w:style w:type="paragraph" w:styleId="Title">
    <w:name w:val="Title"/>
    <w:basedOn w:val="Normal"/>
    <w:next w:val="BodyText"/>
    <w:link w:val="TitleChar"/>
    <w:uiPriority w:val="49"/>
    <w:qFormat/>
    <w:rsid w:val="0010653C"/>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10653C"/>
    <w:rPr>
      <w:rFonts w:eastAsia="Times New Roman" w:cs="Times New Roman"/>
      <w:b/>
      <w:kern w:val="28"/>
      <w:sz w:val="24"/>
      <w:szCs w:val="52"/>
      <w:u w:val="single"/>
    </w:rPr>
  </w:style>
  <w:style w:type="paragraph" w:customStyle="1" w:styleId="Title2">
    <w:name w:val="Title 2"/>
    <w:basedOn w:val="Normal"/>
    <w:next w:val="BodyText"/>
    <w:link w:val="Title2Char"/>
    <w:uiPriority w:val="49"/>
    <w:rsid w:val="0010653C"/>
    <w:pPr>
      <w:keepNext/>
      <w:spacing w:after="240"/>
    </w:pPr>
    <w:rPr>
      <w:b/>
    </w:rPr>
  </w:style>
  <w:style w:type="character" w:customStyle="1" w:styleId="Title2Char">
    <w:name w:val="Title 2 Char"/>
    <w:basedOn w:val="DefaultParagraphFont"/>
    <w:link w:val="Title2"/>
    <w:uiPriority w:val="49"/>
    <w:rsid w:val="0010653C"/>
    <w:rPr>
      <w:rFonts w:cs="Times New Roman"/>
      <w:b/>
      <w:sz w:val="24"/>
      <w:szCs w:val="24"/>
    </w:rPr>
  </w:style>
  <w:style w:type="paragraph" w:customStyle="1" w:styleId="TitlenoTOC">
    <w:name w:val="Title noTOC"/>
    <w:basedOn w:val="Title"/>
    <w:next w:val="BodyText"/>
    <w:link w:val="TitlenoTOCChar"/>
    <w:uiPriority w:val="49"/>
    <w:qFormat/>
    <w:rsid w:val="0010653C"/>
    <w:pPr>
      <w:outlineLvl w:val="9"/>
    </w:pPr>
  </w:style>
  <w:style w:type="character" w:customStyle="1" w:styleId="TitlenoTOCChar">
    <w:name w:val="Title noTOC Char"/>
    <w:basedOn w:val="DefaultParagraphFont"/>
    <w:link w:val="TitlenoTOC"/>
    <w:uiPriority w:val="49"/>
    <w:rsid w:val="0010653C"/>
    <w:rPr>
      <w:rFonts w:eastAsia="Times New Roman" w:cs="Times New Roman"/>
      <w:b/>
      <w:kern w:val="28"/>
      <w:sz w:val="24"/>
      <w:szCs w:val="52"/>
      <w:u w:val="single"/>
    </w:rPr>
  </w:style>
  <w:style w:type="paragraph" w:styleId="TOAHeading">
    <w:name w:val="toa heading"/>
    <w:basedOn w:val="Normal"/>
    <w:next w:val="Normal"/>
    <w:uiPriority w:val="54"/>
    <w:semiHidden/>
    <w:rsid w:val="0010653C"/>
    <w:pPr>
      <w:keepNext/>
      <w:spacing w:after="240"/>
    </w:pPr>
    <w:rPr>
      <w:rFonts w:eastAsia="Times New Roman"/>
      <w:b/>
      <w:bCs/>
    </w:rPr>
  </w:style>
  <w:style w:type="paragraph" w:styleId="TOC1">
    <w:name w:val="toc 1"/>
    <w:basedOn w:val="Normal"/>
    <w:next w:val="Normal"/>
    <w:autoRedefine/>
    <w:uiPriority w:val="54"/>
    <w:rsid w:val="0010653C"/>
    <w:pPr>
      <w:spacing w:after="240"/>
      <w:ind w:left="720" w:right="720" w:hanging="720"/>
    </w:pPr>
    <w:rPr>
      <w:b/>
    </w:rPr>
  </w:style>
  <w:style w:type="paragraph" w:customStyle="1" w:styleId="Title3">
    <w:name w:val="Title 3"/>
    <w:basedOn w:val="Normal"/>
    <w:next w:val="BodyText"/>
    <w:link w:val="Title3Char"/>
    <w:uiPriority w:val="49"/>
    <w:rsid w:val="0010653C"/>
    <w:pPr>
      <w:keepNext/>
      <w:spacing w:after="240"/>
      <w:jc w:val="right"/>
    </w:pPr>
    <w:rPr>
      <w:b/>
    </w:rPr>
  </w:style>
  <w:style w:type="character" w:customStyle="1" w:styleId="Title3Char">
    <w:name w:val="Title 3 Char"/>
    <w:basedOn w:val="DefaultParagraphFont"/>
    <w:link w:val="Title3"/>
    <w:uiPriority w:val="49"/>
    <w:rsid w:val="0010653C"/>
    <w:rPr>
      <w:rFonts w:cs="Times New Roman"/>
      <w:b/>
      <w:sz w:val="24"/>
      <w:szCs w:val="24"/>
    </w:rPr>
  </w:style>
  <w:style w:type="paragraph" w:styleId="CommentSubject">
    <w:name w:val="annotation subject"/>
    <w:basedOn w:val="CommentText"/>
    <w:next w:val="CommentText"/>
    <w:link w:val="CommentSubjectChar"/>
    <w:uiPriority w:val="26"/>
    <w:semiHidden/>
    <w:rsid w:val="0010653C"/>
    <w:rPr>
      <w:b/>
      <w:bCs/>
    </w:rPr>
  </w:style>
  <w:style w:type="character" w:customStyle="1" w:styleId="CommentSubjectChar">
    <w:name w:val="Comment Subject Char"/>
    <w:basedOn w:val="CommentTextChar"/>
    <w:link w:val="CommentSubject"/>
    <w:uiPriority w:val="26"/>
    <w:semiHidden/>
    <w:rsid w:val="0010653C"/>
    <w:rPr>
      <w:rFonts w:cs="Times New Roman"/>
      <w:b/>
      <w:bCs/>
      <w:sz w:val="20"/>
      <w:szCs w:val="20"/>
    </w:rPr>
  </w:style>
  <w:style w:type="paragraph" w:styleId="TableofAuthorities">
    <w:name w:val="table of authorities"/>
    <w:basedOn w:val="NoSpacing"/>
    <w:next w:val="Normal"/>
    <w:uiPriority w:val="54"/>
    <w:semiHidden/>
    <w:unhideWhenUsed/>
    <w:rsid w:val="0010653C"/>
    <w:pPr>
      <w:ind w:left="216" w:hanging="216"/>
    </w:pPr>
  </w:style>
  <w:style w:type="paragraph" w:styleId="TableofFigures">
    <w:name w:val="table of figures"/>
    <w:basedOn w:val="NoSpacing"/>
    <w:next w:val="Normal"/>
    <w:uiPriority w:val="54"/>
    <w:semiHidden/>
    <w:unhideWhenUsed/>
    <w:rsid w:val="0010653C"/>
  </w:style>
  <w:style w:type="paragraph" w:styleId="TOCHeading">
    <w:name w:val="TOC Heading"/>
    <w:basedOn w:val="Normal"/>
    <w:next w:val="Normal"/>
    <w:uiPriority w:val="54"/>
    <w:rsid w:val="0010653C"/>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10653C"/>
    <w:rPr>
      <w:i/>
      <w:iCs/>
      <w:color w:val="000000" w:themeColor="text1"/>
    </w:rPr>
  </w:style>
  <w:style w:type="character" w:customStyle="1" w:styleId="QuoteChar">
    <w:name w:val="Quote Char"/>
    <w:basedOn w:val="DefaultParagraphFont"/>
    <w:link w:val="Quote"/>
    <w:uiPriority w:val="44"/>
    <w:semiHidden/>
    <w:rsid w:val="0010653C"/>
    <w:rPr>
      <w:rFonts w:cs="Times New Roman"/>
      <w:i/>
      <w:iCs/>
      <w:color w:val="000000" w:themeColor="text1"/>
      <w:sz w:val="24"/>
      <w:szCs w:val="24"/>
    </w:rPr>
  </w:style>
  <w:style w:type="character" w:styleId="Strong">
    <w:name w:val="Strong"/>
    <w:basedOn w:val="DefaultParagraphFont"/>
    <w:uiPriority w:val="44"/>
    <w:semiHidden/>
    <w:unhideWhenUsed/>
    <w:rsid w:val="0010653C"/>
    <w:rPr>
      <w:b/>
      <w:bCs/>
    </w:rPr>
  </w:style>
  <w:style w:type="character" w:styleId="SubtleEmphasis">
    <w:name w:val="Subtle Emphasis"/>
    <w:basedOn w:val="DefaultParagraphFont"/>
    <w:uiPriority w:val="44"/>
    <w:semiHidden/>
    <w:unhideWhenUsed/>
    <w:rsid w:val="0010653C"/>
    <w:rPr>
      <w:i/>
      <w:iCs/>
      <w:color w:val="808080" w:themeColor="text1" w:themeTint="7F"/>
    </w:rPr>
  </w:style>
  <w:style w:type="character" w:styleId="SubtleReference">
    <w:name w:val="Subtle Reference"/>
    <w:basedOn w:val="DefaultParagraphFont"/>
    <w:uiPriority w:val="44"/>
    <w:semiHidden/>
    <w:unhideWhenUsed/>
    <w:rsid w:val="0010653C"/>
    <w:rPr>
      <w:smallCaps/>
      <w:color w:val="auto"/>
      <w:u w:val="single"/>
    </w:rPr>
  </w:style>
  <w:style w:type="character" w:styleId="Emphasis">
    <w:name w:val="Emphasis"/>
    <w:basedOn w:val="DefaultParagraphFont"/>
    <w:uiPriority w:val="26"/>
    <w:semiHidden/>
    <w:rsid w:val="0010653C"/>
    <w:rPr>
      <w:i/>
      <w:iCs/>
    </w:rPr>
  </w:style>
  <w:style w:type="character" w:styleId="BookTitle">
    <w:name w:val="Book Title"/>
    <w:basedOn w:val="DefaultParagraphFont"/>
    <w:uiPriority w:val="26"/>
    <w:semiHidden/>
    <w:rsid w:val="0010653C"/>
    <w:rPr>
      <w:b/>
      <w:bCs/>
      <w:smallCaps/>
      <w:spacing w:val="5"/>
    </w:rPr>
  </w:style>
  <w:style w:type="character" w:styleId="IntenseEmphasis">
    <w:name w:val="Intense Emphasis"/>
    <w:basedOn w:val="DefaultParagraphFont"/>
    <w:uiPriority w:val="26"/>
    <w:semiHidden/>
    <w:unhideWhenUsed/>
    <w:rsid w:val="0010653C"/>
    <w:rPr>
      <w:b/>
      <w:bCs/>
      <w:i/>
      <w:iCs/>
      <w:color w:val="auto"/>
    </w:rPr>
  </w:style>
  <w:style w:type="paragraph" w:styleId="IntenseQuote">
    <w:name w:val="Intense Quote"/>
    <w:basedOn w:val="Normal"/>
    <w:next w:val="Normal"/>
    <w:link w:val="IntenseQuoteChar"/>
    <w:uiPriority w:val="26"/>
    <w:semiHidden/>
    <w:unhideWhenUsed/>
    <w:rsid w:val="0010653C"/>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10653C"/>
    <w:rPr>
      <w:rFonts w:cs="Times New Roman"/>
      <w:b/>
      <w:bCs/>
      <w:i/>
      <w:iCs/>
      <w:sz w:val="24"/>
      <w:szCs w:val="24"/>
    </w:rPr>
  </w:style>
  <w:style w:type="character" w:styleId="IntenseReference">
    <w:name w:val="Intense Reference"/>
    <w:basedOn w:val="DefaultParagraphFont"/>
    <w:uiPriority w:val="26"/>
    <w:semiHidden/>
    <w:unhideWhenUsed/>
    <w:rsid w:val="0010653C"/>
    <w:rPr>
      <w:b/>
      <w:bCs/>
      <w:smallCaps/>
      <w:color w:val="auto"/>
      <w:spacing w:val="5"/>
      <w:u w:val="single"/>
    </w:rPr>
  </w:style>
  <w:style w:type="paragraph" w:styleId="ListParagraph">
    <w:name w:val="List Paragraph"/>
    <w:basedOn w:val="Normal"/>
    <w:uiPriority w:val="44"/>
    <w:semiHidden/>
    <w:rsid w:val="0010653C"/>
    <w:pPr>
      <w:spacing w:after="240"/>
      <w:ind w:left="720"/>
      <w:contextualSpacing/>
    </w:pPr>
  </w:style>
  <w:style w:type="paragraph" w:styleId="TOC2">
    <w:name w:val="toc 2"/>
    <w:basedOn w:val="Normal"/>
    <w:next w:val="Normal"/>
    <w:autoRedefine/>
    <w:uiPriority w:val="54"/>
    <w:rsid w:val="0010653C"/>
    <w:pPr>
      <w:spacing w:after="240"/>
      <w:ind w:left="1440" w:right="720" w:hanging="720"/>
    </w:pPr>
  </w:style>
  <w:style w:type="paragraph" w:styleId="TOC3">
    <w:name w:val="toc 3"/>
    <w:basedOn w:val="Normal"/>
    <w:next w:val="Normal"/>
    <w:autoRedefine/>
    <w:uiPriority w:val="54"/>
    <w:rsid w:val="0010653C"/>
    <w:pPr>
      <w:spacing w:after="240"/>
      <w:ind w:left="2160" w:right="720" w:hanging="720"/>
    </w:pPr>
  </w:style>
  <w:style w:type="paragraph" w:styleId="TOC4">
    <w:name w:val="toc 4"/>
    <w:basedOn w:val="Normal"/>
    <w:next w:val="Normal"/>
    <w:autoRedefine/>
    <w:uiPriority w:val="54"/>
    <w:rsid w:val="0010653C"/>
    <w:pPr>
      <w:spacing w:after="240"/>
      <w:ind w:left="2880" w:right="720" w:hanging="720"/>
    </w:pPr>
  </w:style>
  <w:style w:type="paragraph" w:styleId="TOC5">
    <w:name w:val="toc 5"/>
    <w:basedOn w:val="Normal"/>
    <w:next w:val="Normal"/>
    <w:autoRedefine/>
    <w:uiPriority w:val="54"/>
    <w:semiHidden/>
    <w:unhideWhenUsed/>
    <w:rsid w:val="0010653C"/>
    <w:pPr>
      <w:spacing w:after="240"/>
      <w:ind w:left="3600" w:right="720" w:hanging="720"/>
    </w:pPr>
  </w:style>
  <w:style w:type="paragraph" w:styleId="TOC6">
    <w:name w:val="toc 6"/>
    <w:basedOn w:val="Normal"/>
    <w:next w:val="Normal"/>
    <w:autoRedefine/>
    <w:uiPriority w:val="54"/>
    <w:semiHidden/>
    <w:unhideWhenUsed/>
    <w:rsid w:val="0010653C"/>
    <w:pPr>
      <w:spacing w:after="240"/>
      <w:ind w:left="4320" w:right="720" w:hanging="720"/>
    </w:pPr>
  </w:style>
  <w:style w:type="paragraph" w:styleId="TOC7">
    <w:name w:val="toc 7"/>
    <w:basedOn w:val="Normal"/>
    <w:next w:val="Normal"/>
    <w:autoRedefine/>
    <w:uiPriority w:val="54"/>
    <w:semiHidden/>
    <w:unhideWhenUsed/>
    <w:rsid w:val="0010653C"/>
    <w:pPr>
      <w:spacing w:after="240"/>
      <w:ind w:left="5040" w:right="720" w:hanging="720"/>
    </w:pPr>
  </w:style>
  <w:style w:type="paragraph" w:styleId="TOC8">
    <w:name w:val="toc 8"/>
    <w:basedOn w:val="Normal"/>
    <w:next w:val="Normal"/>
    <w:autoRedefine/>
    <w:uiPriority w:val="54"/>
    <w:semiHidden/>
    <w:unhideWhenUsed/>
    <w:rsid w:val="0010653C"/>
    <w:pPr>
      <w:spacing w:after="240"/>
      <w:ind w:left="5760" w:right="720" w:hanging="720"/>
    </w:pPr>
  </w:style>
  <w:style w:type="paragraph" w:styleId="TOC9">
    <w:name w:val="toc 9"/>
    <w:basedOn w:val="Normal"/>
    <w:next w:val="Normal"/>
    <w:autoRedefine/>
    <w:uiPriority w:val="54"/>
    <w:semiHidden/>
    <w:unhideWhenUsed/>
    <w:rsid w:val="0010653C"/>
    <w:pPr>
      <w:spacing w:after="240"/>
      <w:ind w:left="6480" w:right="720" w:hanging="720"/>
    </w:pPr>
  </w:style>
  <w:style w:type="paragraph" w:styleId="BalloonText">
    <w:name w:val="Balloon Text"/>
    <w:basedOn w:val="NoSpacing"/>
    <w:link w:val="BalloonTextChar"/>
    <w:uiPriority w:val="4"/>
    <w:semiHidden/>
    <w:unhideWhenUsed/>
    <w:rsid w:val="0010653C"/>
    <w:rPr>
      <w:rFonts w:ascii="Tahoma" w:hAnsi="Tahoma" w:cs="Tahoma"/>
      <w:sz w:val="16"/>
      <w:szCs w:val="16"/>
    </w:rPr>
  </w:style>
  <w:style w:type="character" w:customStyle="1" w:styleId="BalloonTextChar">
    <w:name w:val="Balloon Text Char"/>
    <w:basedOn w:val="DefaultParagraphFont"/>
    <w:link w:val="BalloonText"/>
    <w:uiPriority w:val="4"/>
    <w:semiHidden/>
    <w:rsid w:val="0010653C"/>
    <w:rPr>
      <w:rFonts w:ascii="Tahoma" w:hAnsi="Tahoma" w:cs="Tahoma"/>
      <w:sz w:val="16"/>
      <w:szCs w:val="16"/>
    </w:rPr>
  </w:style>
  <w:style w:type="paragraph" w:styleId="Bibliography">
    <w:name w:val="Bibliography"/>
    <w:basedOn w:val="NoSpacing"/>
    <w:next w:val="BodyText"/>
    <w:uiPriority w:val="4"/>
    <w:semiHidden/>
    <w:rsid w:val="0010653C"/>
  </w:style>
  <w:style w:type="paragraph" w:styleId="DocumentMap">
    <w:name w:val="Document Map"/>
    <w:basedOn w:val="Normal"/>
    <w:link w:val="DocumentMapChar"/>
    <w:uiPriority w:val="26"/>
    <w:semiHidden/>
    <w:unhideWhenUsed/>
    <w:rsid w:val="0010653C"/>
    <w:pPr>
      <w:spacing w:after="240"/>
    </w:pPr>
    <w:rPr>
      <w:sz w:val="16"/>
      <w:szCs w:val="16"/>
    </w:rPr>
  </w:style>
  <w:style w:type="character" w:customStyle="1" w:styleId="DocumentMapChar">
    <w:name w:val="Document Map Char"/>
    <w:basedOn w:val="DefaultParagraphFont"/>
    <w:link w:val="DocumentMap"/>
    <w:uiPriority w:val="26"/>
    <w:semiHidden/>
    <w:rsid w:val="0010653C"/>
    <w:rPr>
      <w:rFonts w:cs="Times New Roman"/>
      <w:sz w:val="16"/>
      <w:szCs w:val="16"/>
    </w:rPr>
  </w:style>
  <w:style w:type="paragraph" w:styleId="HTMLAddress">
    <w:name w:val="HTML Address"/>
    <w:basedOn w:val="Normal"/>
    <w:link w:val="HTMLAddressChar"/>
    <w:uiPriority w:val="26"/>
    <w:semiHidden/>
    <w:unhideWhenUsed/>
    <w:rsid w:val="0010653C"/>
    <w:pPr>
      <w:spacing w:after="240"/>
    </w:pPr>
    <w:rPr>
      <w:i/>
      <w:iCs/>
    </w:rPr>
  </w:style>
  <w:style w:type="character" w:customStyle="1" w:styleId="HTMLAddressChar">
    <w:name w:val="HTML Address Char"/>
    <w:basedOn w:val="DefaultParagraphFont"/>
    <w:link w:val="HTMLAddress"/>
    <w:uiPriority w:val="26"/>
    <w:semiHidden/>
    <w:rsid w:val="0010653C"/>
    <w:rPr>
      <w:rFonts w:cs="Times New Roman"/>
      <w:i/>
      <w:iCs/>
      <w:sz w:val="24"/>
      <w:szCs w:val="24"/>
    </w:rPr>
  </w:style>
  <w:style w:type="paragraph" w:styleId="HTMLPreformatted">
    <w:name w:val="HTML Preformatted"/>
    <w:basedOn w:val="Normal"/>
    <w:link w:val="HTMLPreformattedChar"/>
    <w:uiPriority w:val="26"/>
    <w:semiHidden/>
    <w:unhideWhenUsed/>
    <w:rsid w:val="0010653C"/>
    <w:pPr>
      <w:spacing w:after="240"/>
    </w:pPr>
    <w:rPr>
      <w:sz w:val="20"/>
      <w:szCs w:val="20"/>
    </w:rPr>
  </w:style>
  <w:style w:type="character" w:customStyle="1" w:styleId="HTMLPreformattedChar">
    <w:name w:val="HTML Preformatted Char"/>
    <w:basedOn w:val="DefaultParagraphFont"/>
    <w:link w:val="HTMLPreformatted"/>
    <w:uiPriority w:val="26"/>
    <w:semiHidden/>
    <w:rsid w:val="0010653C"/>
    <w:rPr>
      <w:rFonts w:cs="Times New Roman"/>
      <w:sz w:val="20"/>
      <w:szCs w:val="20"/>
    </w:rPr>
  </w:style>
  <w:style w:type="paragraph" w:styleId="Index1">
    <w:name w:val="index 1"/>
    <w:basedOn w:val="Normal"/>
    <w:next w:val="Normal"/>
    <w:autoRedefine/>
    <w:uiPriority w:val="26"/>
    <w:semiHidden/>
    <w:unhideWhenUsed/>
    <w:rsid w:val="0010653C"/>
    <w:pPr>
      <w:spacing w:after="240"/>
      <w:ind w:left="240" w:hanging="240"/>
    </w:pPr>
  </w:style>
  <w:style w:type="paragraph" w:styleId="Index2">
    <w:name w:val="index 2"/>
    <w:basedOn w:val="Normal"/>
    <w:next w:val="Normal"/>
    <w:autoRedefine/>
    <w:uiPriority w:val="26"/>
    <w:semiHidden/>
    <w:unhideWhenUsed/>
    <w:rsid w:val="0010653C"/>
    <w:pPr>
      <w:spacing w:after="240"/>
      <w:ind w:left="480" w:hanging="240"/>
    </w:pPr>
  </w:style>
  <w:style w:type="paragraph" w:styleId="Index3">
    <w:name w:val="index 3"/>
    <w:basedOn w:val="Normal"/>
    <w:next w:val="Normal"/>
    <w:autoRedefine/>
    <w:uiPriority w:val="26"/>
    <w:semiHidden/>
    <w:unhideWhenUsed/>
    <w:rsid w:val="0010653C"/>
    <w:pPr>
      <w:spacing w:after="240"/>
      <w:ind w:left="720" w:hanging="240"/>
    </w:pPr>
  </w:style>
  <w:style w:type="paragraph" w:styleId="Index4">
    <w:name w:val="index 4"/>
    <w:basedOn w:val="Normal"/>
    <w:next w:val="Normal"/>
    <w:autoRedefine/>
    <w:uiPriority w:val="26"/>
    <w:semiHidden/>
    <w:unhideWhenUsed/>
    <w:rsid w:val="0010653C"/>
    <w:pPr>
      <w:spacing w:after="240"/>
      <w:ind w:left="960" w:hanging="240"/>
    </w:pPr>
  </w:style>
  <w:style w:type="paragraph" w:styleId="Index5">
    <w:name w:val="index 5"/>
    <w:basedOn w:val="Normal"/>
    <w:next w:val="Normal"/>
    <w:autoRedefine/>
    <w:uiPriority w:val="26"/>
    <w:semiHidden/>
    <w:unhideWhenUsed/>
    <w:rsid w:val="0010653C"/>
    <w:pPr>
      <w:spacing w:after="240"/>
      <w:ind w:left="1200" w:hanging="240"/>
    </w:pPr>
  </w:style>
  <w:style w:type="paragraph" w:styleId="Index6">
    <w:name w:val="index 6"/>
    <w:basedOn w:val="Normal"/>
    <w:next w:val="Normal"/>
    <w:autoRedefine/>
    <w:uiPriority w:val="26"/>
    <w:semiHidden/>
    <w:unhideWhenUsed/>
    <w:rsid w:val="0010653C"/>
    <w:pPr>
      <w:spacing w:after="240"/>
      <w:ind w:left="1440" w:hanging="240"/>
    </w:pPr>
  </w:style>
  <w:style w:type="paragraph" w:styleId="Index7">
    <w:name w:val="index 7"/>
    <w:basedOn w:val="Normal"/>
    <w:next w:val="Normal"/>
    <w:autoRedefine/>
    <w:uiPriority w:val="26"/>
    <w:semiHidden/>
    <w:unhideWhenUsed/>
    <w:rsid w:val="0010653C"/>
    <w:pPr>
      <w:spacing w:after="240"/>
      <w:ind w:left="1680" w:hanging="240"/>
    </w:pPr>
  </w:style>
  <w:style w:type="paragraph" w:styleId="Index8">
    <w:name w:val="index 8"/>
    <w:basedOn w:val="Normal"/>
    <w:next w:val="Normal"/>
    <w:autoRedefine/>
    <w:uiPriority w:val="26"/>
    <w:semiHidden/>
    <w:unhideWhenUsed/>
    <w:rsid w:val="0010653C"/>
    <w:pPr>
      <w:spacing w:after="240"/>
      <w:ind w:left="1920" w:hanging="240"/>
    </w:pPr>
  </w:style>
  <w:style w:type="paragraph" w:styleId="Index9">
    <w:name w:val="index 9"/>
    <w:basedOn w:val="Normal"/>
    <w:next w:val="Normal"/>
    <w:autoRedefine/>
    <w:uiPriority w:val="26"/>
    <w:semiHidden/>
    <w:unhideWhenUsed/>
    <w:rsid w:val="0010653C"/>
    <w:pPr>
      <w:spacing w:after="240"/>
      <w:ind w:left="2160" w:hanging="240"/>
    </w:pPr>
  </w:style>
  <w:style w:type="paragraph" w:styleId="IndexHeading">
    <w:name w:val="index heading"/>
    <w:basedOn w:val="Normal"/>
    <w:next w:val="Index1"/>
    <w:uiPriority w:val="26"/>
    <w:semiHidden/>
    <w:unhideWhenUsed/>
    <w:rsid w:val="0010653C"/>
    <w:pPr>
      <w:spacing w:after="240"/>
    </w:pPr>
    <w:rPr>
      <w:rFonts w:eastAsia="Times New Roman"/>
      <w:b/>
      <w:bCs/>
    </w:rPr>
  </w:style>
  <w:style w:type="paragraph" w:styleId="List">
    <w:name w:val="List"/>
    <w:basedOn w:val="Normal"/>
    <w:uiPriority w:val="26"/>
    <w:semiHidden/>
    <w:rsid w:val="0010653C"/>
    <w:pPr>
      <w:spacing w:after="240"/>
      <w:ind w:left="360" w:hanging="360"/>
      <w:contextualSpacing/>
    </w:pPr>
  </w:style>
  <w:style w:type="paragraph" w:styleId="List2">
    <w:name w:val="List 2"/>
    <w:basedOn w:val="Normal"/>
    <w:uiPriority w:val="26"/>
    <w:semiHidden/>
    <w:rsid w:val="0010653C"/>
    <w:pPr>
      <w:spacing w:after="240"/>
      <w:ind w:left="720" w:hanging="360"/>
      <w:contextualSpacing/>
    </w:pPr>
  </w:style>
  <w:style w:type="paragraph" w:styleId="List3">
    <w:name w:val="List 3"/>
    <w:basedOn w:val="Normal"/>
    <w:uiPriority w:val="26"/>
    <w:semiHidden/>
    <w:rsid w:val="0010653C"/>
    <w:pPr>
      <w:spacing w:after="240"/>
      <w:ind w:left="1080" w:hanging="360"/>
      <w:contextualSpacing/>
    </w:pPr>
  </w:style>
  <w:style w:type="paragraph" w:styleId="List4">
    <w:name w:val="List 4"/>
    <w:basedOn w:val="Normal"/>
    <w:uiPriority w:val="26"/>
    <w:semiHidden/>
    <w:rsid w:val="0010653C"/>
    <w:pPr>
      <w:spacing w:after="240"/>
      <w:ind w:left="1440" w:hanging="360"/>
      <w:contextualSpacing/>
    </w:pPr>
  </w:style>
  <w:style w:type="paragraph" w:styleId="List5">
    <w:name w:val="List 5"/>
    <w:basedOn w:val="Normal"/>
    <w:uiPriority w:val="26"/>
    <w:semiHidden/>
    <w:rsid w:val="0010653C"/>
    <w:pPr>
      <w:spacing w:after="240"/>
      <w:ind w:left="1800" w:hanging="360"/>
      <w:contextualSpacing/>
    </w:pPr>
  </w:style>
  <w:style w:type="paragraph" w:styleId="MessageHeader">
    <w:name w:val="Message Header"/>
    <w:basedOn w:val="Normal"/>
    <w:link w:val="MessageHeaderChar"/>
    <w:uiPriority w:val="44"/>
    <w:semiHidden/>
    <w:unhideWhenUsed/>
    <w:rsid w:val="0010653C"/>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10653C"/>
    <w:rPr>
      <w:rFonts w:eastAsia="Times New Roman" w:cs="Times New Roman"/>
      <w:sz w:val="24"/>
      <w:szCs w:val="24"/>
      <w:shd w:val="pct20" w:color="auto" w:fill="auto"/>
    </w:rPr>
  </w:style>
  <w:style w:type="paragraph" w:styleId="NormalWeb">
    <w:name w:val="Normal (Web)"/>
    <w:basedOn w:val="Normal"/>
    <w:uiPriority w:val="44"/>
    <w:semiHidden/>
    <w:unhideWhenUsed/>
    <w:rsid w:val="0010653C"/>
    <w:pPr>
      <w:spacing w:after="240"/>
    </w:pPr>
  </w:style>
  <w:style w:type="paragraph" w:styleId="NormalIndent">
    <w:name w:val="Normal Indent"/>
    <w:basedOn w:val="Normal"/>
    <w:uiPriority w:val="44"/>
    <w:semiHidden/>
    <w:unhideWhenUsed/>
    <w:rsid w:val="0010653C"/>
    <w:pPr>
      <w:spacing w:after="240"/>
      <w:ind w:left="720"/>
    </w:pPr>
  </w:style>
  <w:style w:type="paragraph" w:styleId="NoteHeading">
    <w:name w:val="Note Heading"/>
    <w:basedOn w:val="Normal"/>
    <w:next w:val="Normal"/>
    <w:link w:val="NoteHeadingChar"/>
    <w:uiPriority w:val="44"/>
    <w:semiHidden/>
    <w:unhideWhenUsed/>
    <w:rsid w:val="0010653C"/>
    <w:pPr>
      <w:spacing w:after="240"/>
    </w:pPr>
  </w:style>
  <w:style w:type="character" w:customStyle="1" w:styleId="NoteHeadingChar">
    <w:name w:val="Note Heading Char"/>
    <w:basedOn w:val="DefaultParagraphFont"/>
    <w:link w:val="NoteHeading"/>
    <w:uiPriority w:val="44"/>
    <w:semiHidden/>
    <w:rsid w:val="0010653C"/>
    <w:rPr>
      <w:rFonts w:cs="Times New Roman"/>
      <w:sz w:val="24"/>
      <w:szCs w:val="24"/>
    </w:rPr>
  </w:style>
  <w:style w:type="paragraph" w:styleId="PlainText">
    <w:name w:val="Plain Text"/>
    <w:basedOn w:val="NoSpacing"/>
    <w:link w:val="PlainTextChar"/>
    <w:uiPriority w:val="44"/>
    <w:semiHidden/>
    <w:unhideWhenUsed/>
    <w:rsid w:val="0010653C"/>
    <w:rPr>
      <w:rFonts w:ascii="Consolas" w:hAnsi="Consolas" w:cs="Consolas"/>
      <w:sz w:val="21"/>
      <w:szCs w:val="21"/>
    </w:rPr>
  </w:style>
  <w:style w:type="character" w:customStyle="1" w:styleId="PlainTextChar">
    <w:name w:val="Plain Text Char"/>
    <w:basedOn w:val="DefaultParagraphFont"/>
    <w:link w:val="PlainText"/>
    <w:uiPriority w:val="44"/>
    <w:semiHidden/>
    <w:rsid w:val="0010653C"/>
    <w:rPr>
      <w:rFonts w:ascii="Consolas" w:hAnsi="Consolas" w:cs="Consolas"/>
      <w:sz w:val="21"/>
      <w:szCs w:val="21"/>
    </w:rPr>
  </w:style>
  <w:style w:type="paragraph" w:customStyle="1" w:styleId="TOCPage">
    <w:name w:val="TOC Page"/>
    <w:basedOn w:val="Normal"/>
    <w:next w:val="Normal"/>
    <w:link w:val="TOCPageChar"/>
    <w:uiPriority w:val="54"/>
    <w:semiHidden/>
    <w:rsid w:val="0010653C"/>
    <w:pPr>
      <w:spacing w:after="240"/>
      <w:jc w:val="right"/>
    </w:pPr>
    <w:rPr>
      <w:b/>
      <w:u w:val="single"/>
    </w:rPr>
  </w:style>
  <w:style w:type="character" w:customStyle="1" w:styleId="TOCPageChar">
    <w:name w:val="TOC Page Char"/>
    <w:basedOn w:val="DefaultParagraphFont"/>
    <w:link w:val="TOCPage"/>
    <w:uiPriority w:val="54"/>
    <w:semiHidden/>
    <w:rsid w:val="0010653C"/>
    <w:rPr>
      <w:rFonts w:cs="Times New Roman"/>
      <w:b/>
      <w:sz w:val="24"/>
      <w:szCs w:val="24"/>
      <w:u w:val="single"/>
    </w:rPr>
  </w:style>
  <w:style w:type="paragraph" w:customStyle="1" w:styleId="TOATitle">
    <w:name w:val="TOA Title"/>
    <w:basedOn w:val="BodyText"/>
    <w:uiPriority w:val="49"/>
    <w:rsid w:val="0010653C"/>
    <w:pPr>
      <w:jc w:val="center"/>
    </w:pPr>
    <w:rPr>
      <w:b/>
      <w:caps/>
      <w:u w:val="single"/>
    </w:rPr>
  </w:style>
  <w:style w:type="character" w:styleId="CommentReference">
    <w:name w:val="annotation reference"/>
    <w:basedOn w:val="DefaultParagraphFont"/>
    <w:uiPriority w:val="26"/>
    <w:semiHidden/>
    <w:rsid w:val="0010653C"/>
    <w:rPr>
      <w:sz w:val="16"/>
      <w:szCs w:val="16"/>
    </w:rPr>
  </w:style>
  <w:style w:type="character" w:styleId="EndnoteReference">
    <w:name w:val="endnote reference"/>
    <w:basedOn w:val="DefaultParagraphFont"/>
    <w:uiPriority w:val="26"/>
    <w:semiHidden/>
    <w:unhideWhenUsed/>
    <w:rsid w:val="0010653C"/>
    <w:rPr>
      <w:vertAlign w:val="superscript"/>
    </w:rPr>
  </w:style>
  <w:style w:type="character" w:styleId="FollowedHyperlink">
    <w:name w:val="FollowedHyperlink"/>
    <w:basedOn w:val="DefaultParagraphFont"/>
    <w:uiPriority w:val="26"/>
    <w:semiHidden/>
    <w:unhideWhenUsed/>
    <w:rsid w:val="0010653C"/>
    <w:rPr>
      <w:color w:val="7F7F7F" w:themeColor="followedHyperlink"/>
      <w:u w:val="single"/>
    </w:rPr>
  </w:style>
  <w:style w:type="character" w:styleId="FootnoteReference">
    <w:name w:val="footnote reference"/>
    <w:basedOn w:val="DefaultParagraphFont"/>
    <w:uiPriority w:val="26"/>
    <w:semiHidden/>
    <w:unhideWhenUsed/>
    <w:rsid w:val="0010653C"/>
    <w:rPr>
      <w:vertAlign w:val="superscript"/>
    </w:rPr>
  </w:style>
  <w:style w:type="character" w:styleId="HTMLAcronym">
    <w:name w:val="HTML Acronym"/>
    <w:basedOn w:val="DefaultParagraphFont"/>
    <w:uiPriority w:val="26"/>
    <w:semiHidden/>
    <w:unhideWhenUsed/>
    <w:rsid w:val="0010653C"/>
  </w:style>
  <w:style w:type="character" w:styleId="HTMLCite">
    <w:name w:val="HTML Cite"/>
    <w:basedOn w:val="DefaultParagraphFont"/>
    <w:uiPriority w:val="26"/>
    <w:semiHidden/>
    <w:unhideWhenUsed/>
    <w:rsid w:val="0010653C"/>
    <w:rPr>
      <w:i/>
      <w:iCs/>
    </w:rPr>
  </w:style>
  <w:style w:type="character" w:styleId="HTMLCode">
    <w:name w:val="HTML Code"/>
    <w:basedOn w:val="DefaultParagraphFont"/>
    <w:uiPriority w:val="26"/>
    <w:semiHidden/>
    <w:unhideWhenUsed/>
    <w:rsid w:val="0010653C"/>
    <w:rPr>
      <w:rFonts w:ascii="Consolas" w:hAnsi="Consolas" w:cs="Consolas"/>
      <w:sz w:val="20"/>
      <w:szCs w:val="20"/>
    </w:rPr>
  </w:style>
  <w:style w:type="character" w:styleId="HTMLDefinition">
    <w:name w:val="HTML Definition"/>
    <w:basedOn w:val="DefaultParagraphFont"/>
    <w:uiPriority w:val="26"/>
    <w:semiHidden/>
    <w:unhideWhenUsed/>
    <w:rsid w:val="0010653C"/>
    <w:rPr>
      <w:i/>
      <w:iCs/>
    </w:rPr>
  </w:style>
  <w:style w:type="character" w:styleId="HTMLKeyboard">
    <w:name w:val="HTML Keyboard"/>
    <w:basedOn w:val="DefaultParagraphFont"/>
    <w:uiPriority w:val="26"/>
    <w:semiHidden/>
    <w:unhideWhenUsed/>
    <w:rsid w:val="0010653C"/>
    <w:rPr>
      <w:rFonts w:ascii="Consolas" w:hAnsi="Consolas" w:cs="Consolas"/>
      <w:sz w:val="20"/>
      <w:szCs w:val="20"/>
    </w:rPr>
  </w:style>
  <w:style w:type="character" w:styleId="HTMLSample">
    <w:name w:val="HTML Sample"/>
    <w:basedOn w:val="DefaultParagraphFont"/>
    <w:uiPriority w:val="26"/>
    <w:semiHidden/>
    <w:unhideWhenUsed/>
    <w:rsid w:val="0010653C"/>
    <w:rPr>
      <w:rFonts w:ascii="Consolas" w:hAnsi="Consolas" w:cs="Consolas"/>
      <w:sz w:val="24"/>
      <w:szCs w:val="24"/>
    </w:rPr>
  </w:style>
  <w:style w:type="character" w:styleId="HTMLTypewriter">
    <w:name w:val="HTML Typewriter"/>
    <w:basedOn w:val="DefaultParagraphFont"/>
    <w:uiPriority w:val="26"/>
    <w:semiHidden/>
    <w:unhideWhenUsed/>
    <w:rsid w:val="0010653C"/>
    <w:rPr>
      <w:rFonts w:ascii="Consolas" w:hAnsi="Consolas" w:cs="Consolas"/>
      <w:sz w:val="20"/>
      <w:szCs w:val="20"/>
    </w:rPr>
  </w:style>
  <w:style w:type="character" w:styleId="HTMLVariable">
    <w:name w:val="HTML Variable"/>
    <w:basedOn w:val="DefaultParagraphFont"/>
    <w:uiPriority w:val="26"/>
    <w:semiHidden/>
    <w:unhideWhenUsed/>
    <w:rsid w:val="0010653C"/>
    <w:rPr>
      <w:i/>
      <w:iCs/>
    </w:rPr>
  </w:style>
  <w:style w:type="character" w:styleId="Hyperlink">
    <w:name w:val="Hyperlink"/>
    <w:basedOn w:val="DefaultParagraphFont"/>
    <w:uiPriority w:val="99"/>
    <w:unhideWhenUsed/>
    <w:rsid w:val="0010653C"/>
    <w:rPr>
      <w:color w:val="000000" w:themeColor="hyperlink"/>
      <w:u w:val="single"/>
    </w:rPr>
  </w:style>
  <w:style w:type="character" w:styleId="LineNumber">
    <w:name w:val="line number"/>
    <w:basedOn w:val="DefaultParagraphFont"/>
    <w:uiPriority w:val="26"/>
    <w:semiHidden/>
    <w:unhideWhenUsed/>
    <w:rsid w:val="0010653C"/>
  </w:style>
  <w:style w:type="paragraph" w:styleId="MacroText">
    <w:name w:val="macro"/>
    <w:basedOn w:val="Normal"/>
    <w:link w:val="MacroTextChar"/>
    <w:uiPriority w:val="44"/>
    <w:semiHidden/>
    <w:unhideWhenUsed/>
    <w:rsid w:val="0010653C"/>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Text"/>
    <w:uiPriority w:val="44"/>
    <w:semiHidden/>
    <w:rsid w:val="0010653C"/>
    <w:rPr>
      <w:rFonts w:cs="Times New Roman"/>
      <w:sz w:val="20"/>
      <w:szCs w:val="20"/>
    </w:rPr>
  </w:style>
  <w:style w:type="character" w:styleId="PageNumber">
    <w:name w:val="page number"/>
    <w:basedOn w:val="DefaultParagraphFont"/>
    <w:uiPriority w:val="44"/>
    <w:semiHidden/>
    <w:unhideWhenUsed/>
    <w:rsid w:val="0010653C"/>
  </w:style>
  <w:style w:type="character" w:styleId="PlaceholderText">
    <w:name w:val="Placeholder Text"/>
    <w:basedOn w:val="DefaultParagraphFont"/>
    <w:uiPriority w:val="44"/>
    <w:semiHidden/>
    <w:rsid w:val="0010653C"/>
    <w:rPr>
      <w:color w:val="808080"/>
    </w:rPr>
  </w:style>
  <w:style w:type="numbering" w:styleId="111111">
    <w:name w:val="Outline List 2"/>
    <w:basedOn w:val="NoList"/>
    <w:uiPriority w:val="99"/>
    <w:semiHidden/>
    <w:unhideWhenUsed/>
    <w:rsid w:val="0010653C"/>
    <w:pPr>
      <w:numPr>
        <w:numId w:val="12"/>
      </w:numPr>
    </w:pPr>
  </w:style>
  <w:style w:type="numbering" w:styleId="1ai">
    <w:name w:val="Outline List 1"/>
    <w:basedOn w:val="NoList"/>
    <w:uiPriority w:val="99"/>
    <w:semiHidden/>
    <w:unhideWhenUsed/>
    <w:rsid w:val="0010653C"/>
    <w:pPr>
      <w:numPr>
        <w:numId w:val="13"/>
      </w:numPr>
    </w:pPr>
  </w:style>
  <w:style w:type="numbering" w:styleId="ArticleSection">
    <w:name w:val="Outline List 3"/>
    <w:basedOn w:val="NoList"/>
    <w:uiPriority w:val="99"/>
    <w:semiHidden/>
    <w:unhideWhenUsed/>
    <w:rsid w:val="0010653C"/>
    <w:pPr>
      <w:numPr>
        <w:numId w:val="14"/>
      </w:numPr>
    </w:pPr>
  </w:style>
  <w:style w:type="table" w:styleId="ColorfulGrid">
    <w:name w:val="Colorful Grid"/>
    <w:basedOn w:val="TableNormal"/>
    <w:uiPriority w:val="73"/>
    <w:rsid w:val="0010653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0653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10653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10653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10653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10653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10653C"/>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10653C"/>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0653C"/>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10653C"/>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10653C"/>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10653C"/>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10653C"/>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10653C"/>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10653C"/>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0653C"/>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0653C"/>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0653C"/>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10653C"/>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0653C"/>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0653C"/>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0653C"/>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0653C"/>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10653C"/>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10653C"/>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10653C"/>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10653C"/>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10653C"/>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10653C"/>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0653C"/>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10653C"/>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10653C"/>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10653C"/>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10653C"/>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10653C"/>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10653C"/>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0653C"/>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10653C"/>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10653C"/>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10653C"/>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10653C"/>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10653C"/>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10653C"/>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0653C"/>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10653C"/>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10653C"/>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10653C"/>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10653C"/>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10653C"/>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10653C"/>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0653C"/>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10653C"/>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10653C"/>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10653C"/>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10653C"/>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10653C"/>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0653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0653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10653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10653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10653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10653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10653C"/>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10653C"/>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0653C"/>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10653C"/>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10653C"/>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10653C"/>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10653C"/>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10653C"/>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0653C"/>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0653C"/>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0653C"/>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0653C"/>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0653C"/>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0653C"/>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0653C"/>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0653C"/>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0653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0653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0653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0653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0653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0653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0653C"/>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0653C"/>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0653C"/>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0653C"/>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0653C"/>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0653C"/>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0653C"/>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0653C"/>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0653C"/>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0653C"/>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0653C"/>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0653C"/>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0653C"/>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0653C"/>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0653C"/>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0653C"/>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0653C"/>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0653C"/>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0653C"/>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0653C"/>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0653C"/>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0653C"/>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0653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0653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0653C"/>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0653C"/>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0653C"/>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0653C"/>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0653C"/>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0653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0653C"/>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0653C"/>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0653C"/>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0653C"/>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0653C"/>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0653C"/>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0653C"/>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0653C"/>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0653C"/>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0653C"/>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065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0653C"/>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0653C"/>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0653C"/>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007074">
      <w:bodyDiv w:val="1"/>
      <w:marLeft w:val="0"/>
      <w:marRight w:val="0"/>
      <w:marTop w:val="0"/>
      <w:marBottom w:val="0"/>
      <w:divBdr>
        <w:top w:val="none" w:sz="0" w:space="0" w:color="auto"/>
        <w:left w:val="none" w:sz="0" w:space="0" w:color="auto"/>
        <w:bottom w:val="none" w:sz="0" w:space="0" w:color="auto"/>
        <w:right w:val="none" w:sz="0" w:space="0" w:color="auto"/>
      </w:divBdr>
    </w:div>
    <w:div w:id="19396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6/15/2020-12575/procedures-for-asylum-and-withholding-of-removal-credible-fear-and-reasonable-fear-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migrationequality.org/legal/legal-help/resources/country-conditions-index/" TargetMode="External"/><Relationship Id="rId5" Type="http://schemas.openxmlformats.org/officeDocument/2006/relationships/webSettings" Target="webSettings.xml"/><Relationship Id="rId10" Type="http://schemas.openxmlformats.org/officeDocument/2006/relationships/hyperlink" Target="https://docs.google.com/document/d/198Rw_lDtqvLt3Mm1YYfbsJkTT-stm-QkfGD6PXaB3_k/edit" TargetMode="External"/><Relationship Id="rId4" Type="http://schemas.openxmlformats.org/officeDocument/2006/relationships/settings" Target="settings.xml"/><Relationship Id="rId9" Type="http://schemas.openxmlformats.org/officeDocument/2006/relationships/hyperlink" Target="https://www.regulations.gov/comment?D=EOIR-2020-0003-00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scis.gov/sites/default/files/USCIS/Humanitarian/Refugees%20%26%20Asylum/Asylum/Asylum%20Native%20Documents%20and%20Static%20Files/RAIO-Training-March-2012.pdf" TargetMode="External"/><Relationship Id="rId13" Type="http://schemas.openxmlformats.org/officeDocument/2006/relationships/hyperlink" Target="https://www.state.gov/reports/2019-country-reports-on-human-rights-practices/guatemala/" TargetMode="External"/><Relationship Id="rId18" Type="http://schemas.openxmlformats.org/officeDocument/2006/relationships/hyperlink" Target="https://www.justice.gov/eoir/page/file/1026721/download" TargetMode="External"/><Relationship Id="rId3" Type="http://schemas.openxmlformats.org/officeDocument/2006/relationships/hyperlink" Target="https://undocs.org/A/74/181?fbclid=IwAR3xrYojctnW46K2HAFgf4ju4C_Wd-4xEzezVG_cyD3_foUOILbhjuO3538" TargetMode="External"/><Relationship Id="rId7" Type="http://schemas.openxmlformats.org/officeDocument/2006/relationships/hyperlink" Target="https://www.reuters.com/article/us-usa-immigration-violence/trans-asylum-seeker-killed-after-u-s-deportation-back-to-el-salvador-idUSKCN1QC03L" TargetMode="External"/><Relationship Id="rId12" Type="http://schemas.openxmlformats.org/officeDocument/2006/relationships/hyperlink" Target="https://www.state.gov/reports/2019-country-reports-on-human-rights-practices/el-salvador/" TargetMode="External"/><Relationship Id="rId17" Type="http://schemas.openxmlformats.org/officeDocument/2006/relationships/hyperlink" Target="https://theconversation.com/lgbtq-caravan-migrants-may-have-to-prove-their-gender-or-sexual-identity-at-us-border-107868" TargetMode="External"/><Relationship Id="rId2" Type="http://schemas.openxmlformats.org/officeDocument/2006/relationships/hyperlink" Target="https://advocatesforyouth.org/wp-content/uploads/storage//advfy/documents/Factsheets/lesbian-gay-bisexual-and-transgender-youth-in-the-global-south.pdf" TargetMode="External"/><Relationship Id="rId16" Type="http://schemas.openxmlformats.org/officeDocument/2006/relationships/hyperlink" Target="https://www.nytimes.com/2018/07/11/us/lgbt-migrants-abuse.html" TargetMode="External"/><Relationship Id="rId1" Type="http://schemas.openxmlformats.org/officeDocument/2006/relationships/hyperlink" Target="https://ilga.org/downloads/ILGA_World_State_Sponsored_Homophobia_report_global_legislation_overview_update_December_2019.pdf" TargetMode="External"/><Relationship Id="rId6" Type="http://schemas.openxmlformats.org/officeDocument/2006/relationships/hyperlink" Target="https://www.reuters.com/article/us-el-salvador-lgbt-murder-trfn/pressure-mounts-for-el-salvador-to-investigate-wave-of-lgbt-killings-idUSKBN1XW01G" TargetMode="External"/><Relationship Id="rId11" Type="http://schemas.openxmlformats.org/officeDocument/2006/relationships/hyperlink" Target="https://www.womensmediacenter.com/news-features/shelter-for-lgbt-migrants-in-tijuana-robbed-and-set-on-fire" TargetMode="External"/><Relationship Id="rId5" Type="http://schemas.openxmlformats.org/officeDocument/2006/relationships/hyperlink" Target="https://www.pbs.org/newshour/show/lgbtq-asylum-seekers-persecuted-at-home-and-in-u-s-custody" TargetMode="External"/><Relationship Id="rId15" Type="http://schemas.openxmlformats.org/officeDocument/2006/relationships/hyperlink" Target="https://www.weforum.org/agenda/2018/01/forgotten-twice-lgbt-refugees/" TargetMode="External"/><Relationship Id="rId10" Type="http://schemas.openxmlformats.org/officeDocument/2006/relationships/hyperlink" Target="https://www.hrw.org/sites/default/files/reports/jamaica1014_ForUpload_1.pdf" TargetMode="External"/><Relationship Id="rId4" Type="http://schemas.openxmlformats.org/officeDocument/2006/relationships/hyperlink" Target="https://www.amnesty.org/download/Documents/AMR0172582017ENGLISH.PDF" TargetMode="External"/><Relationship Id="rId9" Type="http://schemas.openxmlformats.org/officeDocument/2006/relationships/hyperlink" Target="http://www.unhcr.org/509136ca9.pdf" TargetMode="External"/><Relationship Id="rId14" Type="http://schemas.openxmlformats.org/officeDocument/2006/relationships/hyperlink" Target="https://www.state.gov/reports/2019-country-reports-on-human-rights-practices/hondur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E%20Templates\Blank.dotx" TargetMode="External"/></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402D-3714-44C4-9F26-1B1B8BC0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22</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Crawford</dc:creator>
  <cp:keywords/>
  <dc:description/>
  <cp:lastModifiedBy>Kristen Thompson</cp:lastModifiedBy>
  <cp:revision>2</cp:revision>
  <dcterms:created xsi:type="dcterms:W3CDTF">2020-07-07T00:49:00Z</dcterms:created>
  <dcterms:modified xsi:type="dcterms:W3CDTF">2020-07-07T00:49:00Z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Value">
    <vt:lpwstr>KE 69525790.3</vt:lpwstr>
  </property>
  <property fmtid="{D5CDD505-2E9C-101B-9397-08002B2CF9AE}" pid="3" name="DocumentType">
    <vt:lpwstr>KewtaBlank</vt:lpwstr>
  </property>
  <property fmtid="{D5CDD505-2E9C-101B-9397-08002B2CF9AE}" pid="4" name="Language">
    <vt:lpwstr>en-US</vt:lpwstr>
  </property>
  <property fmtid="{D5CDD505-2E9C-101B-9397-08002B2CF9AE}" pid="5" name="Office">
    <vt:lpwstr>05</vt:lpwstr>
  </property>
</Properties>
</file>